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E45" w:rsidRPr="00FE4B89" w:rsidRDefault="007A7E45" w:rsidP="00FE4B89">
      <w:bookmarkStart w:id="0" w:name="_GoBack"/>
      <w:bookmarkEnd w:id="0"/>
    </w:p>
    <w:p w:rsidR="00895DD6" w:rsidRDefault="00F31687">
      <w:pPr>
        <w:pStyle w:val="Heading2"/>
      </w:pPr>
      <w:r>
        <w:t>06505 Ministarstvo mora, prometa i infrastrukture</w:t>
      </w:r>
    </w:p>
    <w:p w:rsidR="00895DD6" w:rsidRDefault="00F31687">
      <w:r>
        <w:t>Najznačajniji poslovi i zadaci Ministarstva mora, prometa i infrastrukture  su stvaranje uvjeta i izgradnja kapaciteta koji će osigurati izradu kvalitetnih zakona i ostalih propisa te njihovo provođenje vezano uz zaštitu mora, pomorskog dobra i vodnih puto</w:t>
      </w:r>
      <w:r>
        <w:t>va unutarnjih voda, osiguranje prometne povezanosti otoka međusobno i s kopnom, postizanje visoke razvijenosti elektroničkih komunikacija i tržišta poštanskih usluga, organiziranje izrade strateških infrastrukturnih projekata i investicijskih programa od p</w:t>
      </w:r>
      <w:r>
        <w:t>osebnog značaja za Republiku Hrvatsku, organiziranje radova na izgradnji suvremene prometne infrastrukture, koja će prometno povezati sve regije i razviti sve vidove prometa uz visok stupanj profesionalnosti i sigurnosti u pružanju prijevoznih usluga te po</w:t>
      </w:r>
      <w:r>
        <w:t xml:space="preserve">duzimanje svih mjera zaštite okoliša u prometu. </w:t>
      </w:r>
    </w:p>
    <w:p w:rsidR="00895DD6" w:rsidRDefault="00F31687">
      <w:r>
        <w:t xml:space="preserve"> </w:t>
      </w:r>
    </w:p>
    <w:p w:rsidR="00895DD6" w:rsidRDefault="00F31687">
      <w:r>
        <w:t>Ministarstvo mora, prometa i infrastrukture teži razvoju efikasnog, sigurnog, održivog i ekološki prihvatljivog te modernog prometnog i komunikacijskog sustava.</w:t>
      </w:r>
    </w:p>
    <w:tbl>
      <w:tblPr>
        <w:tblStyle w:val="StilTablice"/>
        <w:tblW w:w="10206" w:type="dxa"/>
        <w:jc w:val="center"/>
        <w:tblLook w:val="04A0" w:firstRow="1" w:lastRow="0" w:firstColumn="1" w:lastColumn="0" w:noHBand="0" w:noVBand="1"/>
      </w:tblPr>
      <w:tblGrid>
        <w:gridCol w:w="1892"/>
        <w:gridCol w:w="1968"/>
        <w:gridCol w:w="1968"/>
        <w:gridCol w:w="1968"/>
        <w:gridCol w:w="1200"/>
        <w:gridCol w:w="1210"/>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w:t>
            </w:r>
            <w:r>
              <w:rPr>
                <w:rFonts w:cs="Times New Roman"/>
              </w:rPr>
              <w:t>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vAlign w:val="top"/>
          </w:tcPr>
          <w:p w:rsidR="00895DD6" w:rsidRDefault="00F31687">
            <w:pPr>
              <w:pStyle w:val="CellColumn"/>
              <w:jc w:val="left"/>
            </w:pPr>
            <w:r>
              <w:rPr>
                <w:rFonts w:cs="Times New Roman"/>
              </w:rPr>
              <w:t>06505-Ministarstvo mora, prometa i infrastrukture</w:t>
            </w:r>
          </w:p>
        </w:tc>
        <w:tc>
          <w:tcPr>
            <w:tcW w:w="2041" w:type="dxa"/>
            <w:vAlign w:val="top"/>
          </w:tcPr>
          <w:p w:rsidR="00895DD6" w:rsidRDefault="00F31687">
            <w:pPr>
              <w:pStyle w:val="CellColumn"/>
              <w:jc w:val="right"/>
            </w:pPr>
            <w:r>
              <w:rPr>
                <w:rFonts w:cs="Times New Roman"/>
              </w:rPr>
              <w:t>1.225.118.349</w:t>
            </w:r>
          </w:p>
        </w:tc>
        <w:tc>
          <w:tcPr>
            <w:tcW w:w="2041" w:type="dxa"/>
            <w:vAlign w:val="top"/>
          </w:tcPr>
          <w:p w:rsidR="00895DD6" w:rsidRDefault="00F31687">
            <w:pPr>
              <w:pStyle w:val="CellColumn"/>
              <w:jc w:val="right"/>
            </w:pPr>
            <w:r>
              <w:rPr>
                <w:rFonts w:cs="Times New Roman"/>
              </w:rPr>
              <w:t>1.488.591.551</w:t>
            </w:r>
          </w:p>
        </w:tc>
        <w:tc>
          <w:tcPr>
            <w:tcW w:w="2041" w:type="dxa"/>
            <w:vAlign w:val="top"/>
          </w:tcPr>
          <w:p w:rsidR="00895DD6" w:rsidRDefault="00F31687">
            <w:pPr>
              <w:pStyle w:val="CellColumn"/>
              <w:jc w:val="right"/>
            </w:pPr>
            <w:r>
              <w:rPr>
                <w:rFonts w:cs="Times New Roman"/>
              </w:rPr>
              <w:t>1.462.593.076</w:t>
            </w:r>
          </w:p>
        </w:tc>
        <w:tc>
          <w:tcPr>
            <w:tcW w:w="1224" w:type="dxa"/>
            <w:vAlign w:val="top"/>
          </w:tcPr>
          <w:p w:rsidR="00895DD6" w:rsidRDefault="00F31687">
            <w:pPr>
              <w:pStyle w:val="CellColumn"/>
              <w:jc w:val="right"/>
            </w:pPr>
            <w:r>
              <w:rPr>
                <w:rFonts w:cs="Times New Roman"/>
              </w:rPr>
              <w:t>98,3</w:t>
            </w:r>
          </w:p>
        </w:tc>
        <w:tc>
          <w:tcPr>
            <w:tcW w:w="1224" w:type="dxa"/>
            <w:vAlign w:val="top"/>
          </w:tcPr>
          <w:p w:rsidR="00895DD6" w:rsidRDefault="00F31687">
            <w:pPr>
              <w:pStyle w:val="CellColumn"/>
              <w:jc w:val="right"/>
            </w:pPr>
            <w:r>
              <w:rPr>
                <w:rFonts w:cs="Times New Roman"/>
              </w:rPr>
              <w:t>119,4</w:t>
            </w:r>
          </w:p>
        </w:tc>
      </w:tr>
      <w:tr w:rsidR="00895DD6">
        <w:trPr>
          <w:jc w:val="center"/>
        </w:trPr>
        <w:tc>
          <w:tcPr>
            <w:tcW w:w="1632" w:type="dxa"/>
          </w:tcPr>
          <w:p w:rsidR="00895DD6" w:rsidRDefault="00F31687">
            <w:pPr>
              <w:jc w:val="left"/>
            </w:pPr>
            <w:r>
              <w:t>3101-UPRAVLJANJE NA PODRUČJU PROMETNE POLITIKE</w:t>
            </w:r>
          </w:p>
        </w:tc>
        <w:tc>
          <w:tcPr>
            <w:tcW w:w="2041" w:type="dxa"/>
          </w:tcPr>
          <w:p w:rsidR="00895DD6" w:rsidRDefault="00F31687">
            <w:pPr>
              <w:jc w:val="right"/>
            </w:pPr>
            <w:r>
              <w:t>18.225.808</w:t>
            </w:r>
          </w:p>
        </w:tc>
        <w:tc>
          <w:tcPr>
            <w:tcW w:w="2041" w:type="dxa"/>
          </w:tcPr>
          <w:p w:rsidR="00895DD6" w:rsidRDefault="00F31687">
            <w:pPr>
              <w:jc w:val="right"/>
            </w:pPr>
            <w:r>
              <w:t>20.581.341</w:t>
            </w:r>
          </w:p>
        </w:tc>
        <w:tc>
          <w:tcPr>
            <w:tcW w:w="2041" w:type="dxa"/>
          </w:tcPr>
          <w:p w:rsidR="00895DD6" w:rsidRDefault="00F31687">
            <w:pPr>
              <w:jc w:val="right"/>
            </w:pPr>
            <w:r>
              <w:t>20.011.131</w:t>
            </w:r>
          </w:p>
        </w:tc>
        <w:tc>
          <w:tcPr>
            <w:tcW w:w="1224" w:type="dxa"/>
          </w:tcPr>
          <w:p w:rsidR="00895DD6" w:rsidRDefault="00F31687">
            <w:pPr>
              <w:jc w:val="right"/>
            </w:pPr>
            <w:r>
              <w:t>97,2</w:t>
            </w:r>
          </w:p>
        </w:tc>
        <w:tc>
          <w:tcPr>
            <w:tcW w:w="1224" w:type="dxa"/>
          </w:tcPr>
          <w:p w:rsidR="00895DD6" w:rsidRDefault="00F31687">
            <w:pPr>
              <w:jc w:val="right"/>
            </w:pPr>
            <w:r>
              <w:t>109,8</w:t>
            </w:r>
          </w:p>
        </w:tc>
      </w:tr>
      <w:tr w:rsidR="00895DD6">
        <w:trPr>
          <w:jc w:val="center"/>
        </w:trPr>
        <w:tc>
          <w:tcPr>
            <w:tcW w:w="1632" w:type="dxa"/>
          </w:tcPr>
          <w:p w:rsidR="00895DD6" w:rsidRDefault="00F31687">
            <w:pPr>
              <w:jc w:val="left"/>
            </w:pPr>
            <w:r>
              <w:t>3107-RAZVOJ TRŽIŠTA POŠTANSKIH USLUGA I ELEKTRONIČKIH KOMUNIKACIJA</w:t>
            </w:r>
          </w:p>
        </w:tc>
        <w:tc>
          <w:tcPr>
            <w:tcW w:w="2041" w:type="dxa"/>
          </w:tcPr>
          <w:p w:rsidR="00895DD6" w:rsidRDefault="00F31687">
            <w:pPr>
              <w:jc w:val="right"/>
            </w:pPr>
            <w:r>
              <w:t>25.290.442</w:t>
            </w:r>
          </w:p>
        </w:tc>
        <w:tc>
          <w:tcPr>
            <w:tcW w:w="2041" w:type="dxa"/>
          </w:tcPr>
          <w:p w:rsidR="00895DD6" w:rsidRDefault="00F31687">
            <w:pPr>
              <w:jc w:val="right"/>
            </w:pPr>
            <w:r>
              <w:t>15.673.176</w:t>
            </w:r>
          </w:p>
        </w:tc>
        <w:tc>
          <w:tcPr>
            <w:tcW w:w="2041" w:type="dxa"/>
          </w:tcPr>
          <w:p w:rsidR="00895DD6" w:rsidRDefault="00F31687">
            <w:pPr>
              <w:jc w:val="right"/>
            </w:pPr>
            <w:r>
              <w:t>15.670.713</w:t>
            </w:r>
          </w:p>
        </w:tc>
        <w:tc>
          <w:tcPr>
            <w:tcW w:w="1224" w:type="dxa"/>
          </w:tcPr>
          <w:p w:rsidR="00895DD6" w:rsidRDefault="00F31687">
            <w:pPr>
              <w:jc w:val="right"/>
            </w:pPr>
            <w:r>
              <w:t>100,0</w:t>
            </w:r>
          </w:p>
        </w:tc>
        <w:tc>
          <w:tcPr>
            <w:tcW w:w="1224" w:type="dxa"/>
          </w:tcPr>
          <w:p w:rsidR="00895DD6" w:rsidRDefault="00F31687">
            <w:pPr>
              <w:jc w:val="right"/>
            </w:pPr>
            <w:r>
              <w:t>62,0</w:t>
            </w:r>
          </w:p>
        </w:tc>
      </w:tr>
      <w:tr w:rsidR="00895DD6">
        <w:trPr>
          <w:jc w:val="center"/>
        </w:trPr>
        <w:tc>
          <w:tcPr>
            <w:tcW w:w="1632" w:type="dxa"/>
          </w:tcPr>
          <w:p w:rsidR="00895DD6" w:rsidRDefault="00F31687">
            <w:pPr>
              <w:jc w:val="left"/>
            </w:pPr>
            <w:r>
              <w:t>3109-SIGURNOST PLOVIDBE</w:t>
            </w:r>
          </w:p>
        </w:tc>
        <w:tc>
          <w:tcPr>
            <w:tcW w:w="2041" w:type="dxa"/>
          </w:tcPr>
          <w:p w:rsidR="00895DD6" w:rsidRDefault="00F31687">
            <w:pPr>
              <w:jc w:val="right"/>
            </w:pPr>
            <w:r>
              <w:t>30.593.584</w:t>
            </w:r>
          </w:p>
        </w:tc>
        <w:tc>
          <w:tcPr>
            <w:tcW w:w="2041" w:type="dxa"/>
          </w:tcPr>
          <w:p w:rsidR="00895DD6" w:rsidRDefault="00F31687">
            <w:pPr>
              <w:jc w:val="right"/>
            </w:pPr>
            <w:r>
              <w:t>47.017.126</w:t>
            </w:r>
          </w:p>
        </w:tc>
        <w:tc>
          <w:tcPr>
            <w:tcW w:w="2041" w:type="dxa"/>
          </w:tcPr>
          <w:p w:rsidR="00895DD6" w:rsidRDefault="00F31687">
            <w:pPr>
              <w:jc w:val="right"/>
            </w:pPr>
            <w:r>
              <w:t>39.031.500</w:t>
            </w:r>
          </w:p>
        </w:tc>
        <w:tc>
          <w:tcPr>
            <w:tcW w:w="1224" w:type="dxa"/>
          </w:tcPr>
          <w:p w:rsidR="00895DD6" w:rsidRDefault="00F31687">
            <w:pPr>
              <w:jc w:val="right"/>
            </w:pPr>
            <w:r>
              <w:t>83,0</w:t>
            </w:r>
          </w:p>
        </w:tc>
        <w:tc>
          <w:tcPr>
            <w:tcW w:w="1224" w:type="dxa"/>
          </w:tcPr>
          <w:p w:rsidR="00895DD6" w:rsidRDefault="00F31687">
            <w:pPr>
              <w:jc w:val="right"/>
            </w:pPr>
            <w:r>
              <w:t>127,6</w:t>
            </w:r>
          </w:p>
        </w:tc>
      </w:tr>
      <w:tr w:rsidR="00895DD6">
        <w:trPr>
          <w:jc w:val="center"/>
        </w:trPr>
        <w:tc>
          <w:tcPr>
            <w:tcW w:w="1632" w:type="dxa"/>
          </w:tcPr>
          <w:p w:rsidR="00895DD6" w:rsidRDefault="00F31687">
            <w:pPr>
              <w:jc w:val="left"/>
            </w:pPr>
            <w:r>
              <w:t>3110-IZGRADNJA I ODRŽAVANJE CESTOVNE INFRASTRUKTURE</w:t>
            </w:r>
          </w:p>
        </w:tc>
        <w:tc>
          <w:tcPr>
            <w:tcW w:w="2041" w:type="dxa"/>
          </w:tcPr>
          <w:p w:rsidR="00895DD6" w:rsidRDefault="00F31687">
            <w:pPr>
              <w:jc w:val="right"/>
            </w:pPr>
            <w:r>
              <w:t>459.460.001</w:t>
            </w:r>
          </w:p>
        </w:tc>
        <w:tc>
          <w:tcPr>
            <w:tcW w:w="2041" w:type="dxa"/>
          </w:tcPr>
          <w:p w:rsidR="00895DD6" w:rsidRDefault="00F31687">
            <w:pPr>
              <w:jc w:val="right"/>
            </w:pPr>
            <w:r>
              <w:t>444.152.536</w:t>
            </w:r>
          </w:p>
        </w:tc>
        <w:tc>
          <w:tcPr>
            <w:tcW w:w="2041" w:type="dxa"/>
          </w:tcPr>
          <w:p w:rsidR="00895DD6" w:rsidRDefault="00F31687">
            <w:pPr>
              <w:jc w:val="right"/>
            </w:pPr>
            <w:r>
              <w:t>443.785.818</w:t>
            </w:r>
          </w:p>
        </w:tc>
        <w:tc>
          <w:tcPr>
            <w:tcW w:w="1224" w:type="dxa"/>
          </w:tcPr>
          <w:p w:rsidR="00895DD6" w:rsidRDefault="00F31687">
            <w:pPr>
              <w:jc w:val="right"/>
            </w:pPr>
            <w:r>
              <w:t>99,9</w:t>
            </w:r>
          </w:p>
        </w:tc>
        <w:tc>
          <w:tcPr>
            <w:tcW w:w="1224" w:type="dxa"/>
          </w:tcPr>
          <w:p w:rsidR="00895DD6" w:rsidRDefault="00F31687">
            <w:pPr>
              <w:jc w:val="right"/>
            </w:pPr>
            <w:r>
              <w:t>96,6</w:t>
            </w:r>
          </w:p>
        </w:tc>
      </w:tr>
      <w:tr w:rsidR="00895DD6">
        <w:trPr>
          <w:jc w:val="center"/>
        </w:trPr>
        <w:tc>
          <w:tcPr>
            <w:tcW w:w="1632" w:type="dxa"/>
          </w:tcPr>
          <w:p w:rsidR="00895DD6" w:rsidRDefault="00F31687">
            <w:pPr>
              <w:jc w:val="left"/>
            </w:pPr>
            <w:r>
              <w:t>3111-PRIPREMA I PROVEDBA PROJEKATA SUFINANCIRANIH SREDSTVIMA FONDOVA EU</w:t>
            </w:r>
          </w:p>
        </w:tc>
        <w:tc>
          <w:tcPr>
            <w:tcW w:w="2041" w:type="dxa"/>
          </w:tcPr>
          <w:p w:rsidR="00895DD6" w:rsidRDefault="00F31687">
            <w:pPr>
              <w:jc w:val="right"/>
            </w:pPr>
            <w:r>
              <w:t>170.561.220</w:t>
            </w:r>
          </w:p>
        </w:tc>
        <w:tc>
          <w:tcPr>
            <w:tcW w:w="2041" w:type="dxa"/>
          </w:tcPr>
          <w:p w:rsidR="00895DD6" w:rsidRDefault="00F31687">
            <w:pPr>
              <w:jc w:val="right"/>
            </w:pPr>
            <w:r>
              <w:t>137.948.491</w:t>
            </w:r>
          </w:p>
        </w:tc>
        <w:tc>
          <w:tcPr>
            <w:tcW w:w="2041" w:type="dxa"/>
          </w:tcPr>
          <w:p w:rsidR="00895DD6" w:rsidRDefault="00F31687">
            <w:pPr>
              <w:jc w:val="right"/>
            </w:pPr>
            <w:r>
              <w:t>125.834.772</w:t>
            </w:r>
          </w:p>
        </w:tc>
        <w:tc>
          <w:tcPr>
            <w:tcW w:w="1224" w:type="dxa"/>
          </w:tcPr>
          <w:p w:rsidR="00895DD6" w:rsidRDefault="00F31687">
            <w:pPr>
              <w:jc w:val="right"/>
            </w:pPr>
            <w:r>
              <w:t>91,2</w:t>
            </w:r>
          </w:p>
        </w:tc>
        <w:tc>
          <w:tcPr>
            <w:tcW w:w="1224" w:type="dxa"/>
          </w:tcPr>
          <w:p w:rsidR="00895DD6" w:rsidRDefault="00F31687">
            <w:pPr>
              <w:jc w:val="right"/>
            </w:pPr>
            <w:r>
              <w:t>73,8</w:t>
            </w:r>
          </w:p>
        </w:tc>
      </w:tr>
      <w:tr w:rsidR="00895DD6">
        <w:trPr>
          <w:jc w:val="center"/>
        </w:trPr>
        <w:tc>
          <w:tcPr>
            <w:tcW w:w="1632" w:type="dxa"/>
          </w:tcPr>
          <w:p w:rsidR="00895DD6" w:rsidRDefault="00F31687">
            <w:pPr>
              <w:jc w:val="left"/>
            </w:pPr>
            <w:r>
              <w:t>3112-INSPEKCIJSKI NADZOR CESTOVNOG PROMETA, CESTA I ŽIČARA</w:t>
            </w:r>
          </w:p>
        </w:tc>
        <w:tc>
          <w:tcPr>
            <w:tcW w:w="2041" w:type="dxa"/>
          </w:tcPr>
          <w:p w:rsidR="00895DD6" w:rsidRDefault="00F31687">
            <w:pPr>
              <w:jc w:val="right"/>
            </w:pPr>
            <w:r>
              <w:t>595.318</w:t>
            </w:r>
          </w:p>
        </w:tc>
        <w:tc>
          <w:tcPr>
            <w:tcW w:w="2041" w:type="dxa"/>
          </w:tcPr>
          <w:p w:rsidR="00895DD6" w:rsidRDefault="00F31687">
            <w:pPr>
              <w:jc w:val="right"/>
            </w:pPr>
            <w:r>
              <w:t>1.064.899</w:t>
            </w:r>
          </w:p>
        </w:tc>
        <w:tc>
          <w:tcPr>
            <w:tcW w:w="2041" w:type="dxa"/>
          </w:tcPr>
          <w:p w:rsidR="00895DD6" w:rsidRDefault="00F31687">
            <w:pPr>
              <w:jc w:val="right"/>
            </w:pPr>
            <w:r>
              <w:t>440.223</w:t>
            </w:r>
          </w:p>
        </w:tc>
        <w:tc>
          <w:tcPr>
            <w:tcW w:w="1224" w:type="dxa"/>
          </w:tcPr>
          <w:p w:rsidR="00895DD6" w:rsidRDefault="00F31687">
            <w:pPr>
              <w:jc w:val="right"/>
            </w:pPr>
            <w:r>
              <w:t>41,3</w:t>
            </w:r>
          </w:p>
        </w:tc>
        <w:tc>
          <w:tcPr>
            <w:tcW w:w="1224" w:type="dxa"/>
          </w:tcPr>
          <w:p w:rsidR="00895DD6" w:rsidRDefault="00F31687">
            <w:pPr>
              <w:jc w:val="right"/>
            </w:pPr>
            <w:r>
              <w:t>73,9</w:t>
            </w:r>
          </w:p>
        </w:tc>
      </w:tr>
      <w:tr w:rsidR="00895DD6">
        <w:trPr>
          <w:jc w:val="center"/>
        </w:trPr>
        <w:tc>
          <w:tcPr>
            <w:tcW w:w="1632" w:type="dxa"/>
          </w:tcPr>
          <w:p w:rsidR="00895DD6" w:rsidRDefault="00F31687">
            <w:pPr>
              <w:jc w:val="left"/>
            </w:pPr>
            <w:r>
              <w:lastRenderedPageBreak/>
              <w:t>3113-RAZVOJ SUSTAVA ZRAČNOG PROMETA</w:t>
            </w:r>
          </w:p>
        </w:tc>
        <w:tc>
          <w:tcPr>
            <w:tcW w:w="2041" w:type="dxa"/>
          </w:tcPr>
          <w:p w:rsidR="00895DD6" w:rsidRDefault="00F31687">
            <w:pPr>
              <w:jc w:val="right"/>
            </w:pPr>
            <w:r>
              <w:t>26.629.115</w:t>
            </w:r>
          </w:p>
        </w:tc>
        <w:tc>
          <w:tcPr>
            <w:tcW w:w="2041" w:type="dxa"/>
          </w:tcPr>
          <w:p w:rsidR="00895DD6" w:rsidRDefault="00F31687">
            <w:pPr>
              <w:jc w:val="right"/>
            </w:pPr>
            <w:r>
              <w:t>79.752.317</w:t>
            </w:r>
          </w:p>
        </w:tc>
        <w:tc>
          <w:tcPr>
            <w:tcW w:w="2041" w:type="dxa"/>
          </w:tcPr>
          <w:p w:rsidR="00895DD6" w:rsidRDefault="00F31687">
            <w:pPr>
              <w:jc w:val="right"/>
            </w:pPr>
            <w:r>
              <w:t>79.696.158</w:t>
            </w:r>
          </w:p>
        </w:tc>
        <w:tc>
          <w:tcPr>
            <w:tcW w:w="1224" w:type="dxa"/>
          </w:tcPr>
          <w:p w:rsidR="00895DD6" w:rsidRDefault="00F31687">
            <w:pPr>
              <w:jc w:val="right"/>
            </w:pPr>
            <w:r>
              <w:t>99,9</w:t>
            </w:r>
          </w:p>
        </w:tc>
        <w:tc>
          <w:tcPr>
            <w:tcW w:w="1224" w:type="dxa"/>
          </w:tcPr>
          <w:p w:rsidR="00895DD6" w:rsidRDefault="00F31687">
            <w:pPr>
              <w:jc w:val="right"/>
            </w:pPr>
            <w:r>
              <w:t>299,3</w:t>
            </w:r>
          </w:p>
        </w:tc>
      </w:tr>
      <w:tr w:rsidR="00895DD6">
        <w:trPr>
          <w:jc w:val="center"/>
        </w:trPr>
        <w:tc>
          <w:tcPr>
            <w:tcW w:w="1632" w:type="dxa"/>
          </w:tcPr>
          <w:p w:rsidR="00895DD6" w:rsidRDefault="00F31687">
            <w:pPr>
              <w:jc w:val="left"/>
            </w:pPr>
            <w:r>
              <w:t>3114-IZGRADNJA I ODRŽAVANJE ŽELJEZNIČKE INFRASTRUKTURE</w:t>
            </w:r>
          </w:p>
        </w:tc>
        <w:tc>
          <w:tcPr>
            <w:tcW w:w="2041" w:type="dxa"/>
          </w:tcPr>
          <w:p w:rsidR="00895DD6" w:rsidRDefault="00F31687">
            <w:pPr>
              <w:jc w:val="right"/>
            </w:pPr>
            <w:r>
              <w:t>258.442.443</w:t>
            </w:r>
          </w:p>
        </w:tc>
        <w:tc>
          <w:tcPr>
            <w:tcW w:w="2041" w:type="dxa"/>
          </w:tcPr>
          <w:p w:rsidR="00895DD6" w:rsidRDefault="00F31687">
            <w:pPr>
              <w:jc w:val="right"/>
            </w:pPr>
            <w:r>
              <w:t>370.313.182</w:t>
            </w:r>
          </w:p>
        </w:tc>
        <w:tc>
          <w:tcPr>
            <w:tcW w:w="2041" w:type="dxa"/>
          </w:tcPr>
          <w:p w:rsidR="00895DD6" w:rsidRDefault="00F31687">
            <w:pPr>
              <w:jc w:val="right"/>
            </w:pPr>
            <w:r>
              <w:t>369.523.204</w:t>
            </w:r>
          </w:p>
        </w:tc>
        <w:tc>
          <w:tcPr>
            <w:tcW w:w="1224" w:type="dxa"/>
          </w:tcPr>
          <w:p w:rsidR="00895DD6" w:rsidRDefault="00F31687">
            <w:pPr>
              <w:jc w:val="right"/>
            </w:pPr>
            <w:r>
              <w:t>99,8</w:t>
            </w:r>
          </w:p>
        </w:tc>
        <w:tc>
          <w:tcPr>
            <w:tcW w:w="1224" w:type="dxa"/>
          </w:tcPr>
          <w:p w:rsidR="00895DD6" w:rsidRDefault="00F31687">
            <w:pPr>
              <w:jc w:val="right"/>
            </w:pPr>
            <w:r>
              <w:t>143,0</w:t>
            </w:r>
          </w:p>
        </w:tc>
      </w:tr>
      <w:tr w:rsidR="00895DD6">
        <w:trPr>
          <w:jc w:val="center"/>
        </w:trPr>
        <w:tc>
          <w:tcPr>
            <w:tcW w:w="1632" w:type="dxa"/>
          </w:tcPr>
          <w:p w:rsidR="00895DD6" w:rsidRDefault="00F31687">
            <w:pPr>
              <w:jc w:val="left"/>
            </w:pPr>
            <w:r>
              <w:t>3115-RAZVOJ UNUTARNJE PLOVIDBE</w:t>
            </w:r>
          </w:p>
        </w:tc>
        <w:tc>
          <w:tcPr>
            <w:tcW w:w="2041" w:type="dxa"/>
          </w:tcPr>
          <w:p w:rsidR="00895DD6" w:rsidRDefault="00F31687">
            <w:pPr>
              <w:jc w:val="right"/>
            </w:pPr>
            <w:r>
              <w:t>3.296.736</w:t>
            </w:r>
          </w:p>
        </w:tc>
        <w:tc>
          <w:tcPr>
            <w:tcW w:w="2041" w:type="dxa"/>
          </w:tcPr>
          <w:p w:rsidR="00895DD6" w:rsidRDefault="00F31687">
            <w:pPr>
              <w:jc w:val="right"/>
            </w:pPr>
            <w:r>
              <w:t>4.577.165</w:t>
            </w:r>
          </w:p>
        </w:tc>
        <w:tc>
          <w:tcPr>
            <w:tcW w:w="2041" w:type="dxa"/>
          </w:tcPr>
          <w:p w:rsidR="00895DD6" w:rsidRDefault="00F31687">
            <w:pPr>
              <w:jc w:val="right"/>
            </w:pPr>
            <w:r>
              <w:t>4.190.421</w:t>
            </w:r>
          </w:p>
        </w:tc>
        <w:tc>
          <w:tcPr>
            <w:tcW w:w="1224" w:type="dxa"/>
          </w:tcPr>
          <w:p w:rsidR="00895DD6" w:rsidRDefault="00F31687">
            <w:pPr>
              <w:jc w:val="right"/>
            </w:pPr>
            <w:r>
              <w:t>91,6</w:t>
            </w:r>
          </w:p>
        </w:tc>
        <w:tc>
          <w:tcPr>
            <w:tcW w:w="1224" w:type="dxa"/>
          </w:tcPr>
          <w:p w:rsidR="00895DD6" w:rsidRDefault="00F31687">
            <w:pPr>
              <w:jc w:val="right"/>
            </w:pPr>
            <w:r>
              <w:t>127,1</w:t>
            </w:r>
          </w:p>
        </w:tc>
      </w:tr>
      <w:tr w:rsidR="00895DD6">
        <w:trPr>
          <w:jc w:val="center"/>
        </w:trPr>
        <w:tc>
          <w:tcPr>
            <w:tcW w:w="1632" w:type="dxa"/>
          </w:tcPr>
          <w:p w:rsidR="00895DD6" w:rsidRDefault="00F31687">
            <w:pPr>
              <w:jc w:val="left"/>
            </w:pPr>
            <w:r>
              <w:t>3116-RAZVOJ SUSTAVA POMORSKOG PROMETA, POMORSKOG DOBRA I LUKA, TE ZAŠTITA OKOLIŠA OD ONEČIŠĆENJA S POMORSKIH OBJEKATA</w:t>
            </w:r>
          </w:p>
        </w:tc>
        <w:tc>
          <w:tcPr>
            <w:tcW w:w="2041" w:type="dxa"/>
          </w:tcPr>
          <w:p w:rsidR="00895DD6" w:rsidRDefault="00F31687">
            <w:pPr>
              <w:jc w:val="right"/>
            </w:pPr>
            <w:r>
              <w:t>16.960.846</w:t>
            </w:r>
          </w:p>
        </w:tc>
        <w:tc>
          <w:tcPr>
            <w:tcW w:w="2041" w:type="dxa"/>
          </w:tcPr>
          <w:p w:rsidR="00895DD6" w:rsidRDefault="00F31687">
            <w:pPr>
              <w:jc w:val="right"/>
            </w:pPr>
            <w:r>
              <w:t>16.670.741</w:t>
            </w:r>
          </w:p>
        </w:tc>
        <w:tc>
          <w:tcPr>
            <w:tcW w:w="2041" w:type="dxa"/>
          </w:tcPr>
          <w:p w:rsidR="00895DD6" w:rsidRDefault="00F31687">
            <w:pPr>
              <w:jc w:val="right"/>
            </w:pPr>
            <w:r>
              <w:t>16.485.354</w:t>
            </w:r>
          </w:p>
        </w:tc>
        <w:tc>
          <w:tcPr>
            <w:tcW w:w="1224" w:type="dxa"/>
          </w:tcPr>
          <w:p w:rsidR="00895DD6" w:rsidRDefault="00F31687">
            <w:pPr>
              <w:jc w:val="right"/>
            </w:pPr>
            <w:r>
              <w:t>98,9</w:t>
            </w:r>
          </w:p>
        </w:tc>
        <w:tc>
          <w:tcPr>
            <w:tcW w:w="1224" w:type="dxa"/>
          </w:tcPr>
          <w:p w:rsidR="00895DD6" w:rsidRDefault="00F31687">
            <w:pPr>
              <w:jc w:val="right"/>
            </w:pPr>
            <w:r>
              <w:t>97,2</w:t>
            </w:r>
          </w:p>
        </w:tc>
      </w:tr>
      <w:tr w:rsidR="00895DD6">
        <w:trPr>
          <w:jc w:val="center"/>
        </w:trPr>
        <w:tc>
          <w:tcPr>
            <w:tcW w:w="1632" w:type="dxa"/>
          </w:tcPr>
          <w:p w:rsidR="00895DD6" w:rsidRDefault="00F31687">
            <w:pPr>
              <w:jc w:val="left"/>
            </w:pPr>
            <w:r>
              <w:t>3118-RAZVOJ I SIGURNOST KOPNENOG PROMETA</w:t>
            </w:r>
          </w:p>
        </w:tc>
        <w:tc>
          <w:tcPr>
            <w:tcW w:w="2041" w:type="dxa"/>
          </w:tcPr>
          <w:p w:rsidR="00895DD6" w:rsidRDefault="00F31687">
            <w:pPr>
              <w:jc w:val="right"/>
            </w:pPr>
            <w:r>
              <w:t>215.062.835</w:t>
            </w:r>
          </w:p>
        </w:tc>
        <w:tc>
          <w:tcPr>
            <w:tcW w:w="2041" w:type="dxa"/>
          </w:tcPr>
          <w:p w:rsidR="00895DD6" w:rsidRDefault="00F31687">
            <w:pPr>
              <w:jc w:val="right"/>
            </w:pPr>
            <w:r>
              <w:t>350.840.577</w:t>
            </w:r>
          </w:p>
        </w:tc>
        <w:tc>
          <w:tcPr>
            <w:tcW w:w="2041" w:type="dxa"/>
          </w:tcPr>
          <w:p w:rsidR="00895DD6" w:rsidRDefault="00F31687">
            <w:pPr>
              <w:jc w:val="right"/>
            </w:pPr>
            <w:r>
              <w:t>347.923.782</w:t>
            </w:r>
          </w:p>
        </w:tc>
        <w:tc>
          <w:tcPr>
            <w:tcW w:w="1224" w:type="dxa"/>
          </w:tcPr>
          <w:p w:rsidR="00895DD6" w:rsidRDefault="00F31687">
            <w:pPr>
              <w:jc w:val="right"/>
            </w:pPr>
            <w:r>
              <w:t>99,2</w:t>
            </w:r>
          </w:p>
        </w:tc>
        <w:tc>
          <w:tcPr>
            <w:tcW w:w="1224" w:type="dxa"/>
          </w:tcPr>
          <w:p w:rsidR="00895DD6" w:rsidRDefault="00F31687">
            <w:pPr>
              <w:jc w:val="right"/>
            </w:pPr>
            <w:r>
              <w:t>161,8</w:t>
            </w:r>
          </w:p>
        </w:tc>
      </w:tr>
    </w:tbl>
    <w:p w:rsidR="00895DD6" w:rsidRDefault="00895DD6">
      <w:pPr>
        <w:jc w:val="left"/>
      </w:pPr>
    </w:p>
    <w:p w:rsidR="00895DD6" w:rsidRDefault="00F31687">
      <w:pPr>
        <w:pStyle w:val="Heading3"/>
      </w:pPr>
      <w:r>
        <w:rPr>
          <w:rFonts w:cs="Times New Roman"/>
        </w:rPr>
        <w:t>3101 UPRAVLJANJE NA PODRUČJU PROMETNE POLITIKE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3101-UPRAVLJANJE NA PODRUČJU PROMETNE POLITIKE</w:t>
            </w:r>
          </w:p>
        </w:tc>
        <w:tc>
          <w:tcPr>
            <w:tcW w:w="2041" w:type="dxa"/>
          </w:tcPr>
          <w:p w:rsidR="00895DD6" w:rsidRDefault="00F31687">
            <w:pPr>
              <w:pStyle w:val="CellColumn"/>
              <w:jc w:val="right"/>
            </w:pPr>
            <w:r>
              <w:rPr>
                <w:rFonts w:cs="Times New Roman"/>
              </w:rPr>
              <w:t>18.225.808</w:t>
            </w:r>
          </w:p>
        </w:tc>
        <w:tc>
          <w:tcPr>
            <w:tcW w:w="2041" w:type="dxa"/>
          </w:tcPr>
          <w:p w:rsidR="00895DD6" w:rsidRDefault="00F31687">
            <w:pPr>
              <w:pStyle w:val="CellColumn"/>
              <w:jc w:val="right"/>
            </w:pPr>
            <w:r>
              <w:rPr>
                <w:rFonts w:cs="Times New Roman"/>
              </w:rPr>
              <w:t>20.581.341</w:t>
            </w:r>
          </w:p>
        </w:tc>
        <w:tc>
          <w:tcPr>
            <w:tcW w:w="2041" w:type="dxa"/>
          </w:tcPr>
          <w:p w:rsidR="00895DD6" w:rsidRDefault="00F31687">
            <w:pPr>
              <w:pStyle w:val="CellColumn"/>
              <w:jc w:val="right"/>
            </w:pPr>
            <w:r>
              <w:rPr>
                <w:rFonts w:cs="Times New Roman"/>
              </w:rPr>
              <w:t>20.011.131</w:t>
            </w:r>
          </w:p>
        </w:tc>
        <w:tc>
          <w:tcPr>
            <w:tcW w:w="1224" w:type="dxa"/>
          </w:tcPr>
          <w:p w:rsidR="00895DD6" w:rsidRDefault="00F31687">
            <w:pPr>
              <w:pStyle w:val="CellColumn"/>
              <w:jc w:val="right"/>
            </w:pPr>
            <w:r>
              <w:rPr>
                <w:rFonts w:cs="Times New Roman"/>
              </w:rPr>
              <w:t>97,2</w:t>
            </w:r>
          </w:p>
        </w:tc>
        <w:tc>
          <w:tcPr>
            <w:tcW w:w="1224" w:type="dxa"/>
          </w:tcPr>
          <w:p w:rsidR="00895DD6" w:rsidRDefault="00F31687">
            <w:pPr>
              <w:pStyle w:val="CellColumn"/>
              <w:jc w:val="right"/>
            </w:pPr>
            <w:r>
              <w:rPr>
                <w:rFonts w:cs="Times New Roman"/>
              </w:rPr>
              <w:t>109,8</w:t>
            </w:r>
          </w:p>
        </w:tc>
      </w:tr>
    </w:tbl>
    <w:p w:rsidR="00895DD6" w:rsidRDefault="00895DD6">
      <w:pPr>
        <w:jc w:val="left"/>
      </w:pPr>
    </w:p>
    <w:p w:rsidR="00895DD6" w:rsidRDefault="00F31687">
      <w:pPr>
        <w:pStyle w:val="Heading8"/>
        <w:jc w:val="left"/>
      </w:pPr>
      <w:r>
        <w:t>Cilj 1. Povećanje kvalitete obavljanja poslova redovite djelatnosti i uvjeta rada Ministarstva</w:t>
      </w:r>
    </w:p>
    <w:p w:rsidR="00895DD6" w:rsidRDefault="00F31687">
      <w:pPr>
        <w:pStyle w:val="Heading8"/>
        <w:jc w:val="left"/>
      </w:pPr>
      <w:r>
        <w:t>Opis provedbe cilja programa</w:t>
      </w:r>
    </w:p>
    <w:p w:rsidR="00895DD6" w:rsidRDefault="00F31687">
      <w:r>
        <w:t>Povećana je kvaliteta usluge prema korisnicima u vidu ažurnosti i učinkovitosti poslovanja, smanjenjem troškova poslovanja, višim razinom informatizacije u vidu unapređenja poslovanja primjenom suvremenih informatičkih rješenja, sigurnošću informatičkog su</w:t>
      </w:r>
      <w:r>
        <w:t>stava, upravljanjem i razvojem ljudskih potencijala te osiguranjem pravilnog, učinkovitog i ekonomičnog raspolaganja proračunskim i drugim sredstvima.</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477"/>
        <w:gridCol w:w="2477"/>
        <w:gridCol w:w="1006"/>
        <w:gridCol w:w="1014"/>
        <w:gridCol w:w="1203"/>
        <w:gridCol w:w="1014"/>
        <w:gridCol w:w="1015"/>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w:t>
            </w:r>
            <w:r>
              <w:rPr>
                <w:rFonts w:cs="Times New Roman"/>
              </w:rPr>
              <w:t>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Postotak provedenih mjera i aktivnosti vezanih uz djelotvorno upravljanje ljudskim potencijalima, resursima i poslovnim procesima</w:t>
            </w:r>
          </w:p>
        </w:tc>
        <w:tc>
          <w:tcPr>
            <w:tcW w:w="2551" w:type="dxa"/>
          </w:tcPr>
          <w:p w:rsidR="00895DD6" w:rsidRDefault="00F31687">
            <w:pPr>
              <w:pStyle w:val="CellColumn"/>
              <w:jc w:val="left"/>
            </w:pPr>
            <w:r>
              <w:rPr>
                <w:rFonts w:cs="Times New Roman"/>
              </w:rPr>
              <w:t>Razvojem i djelotvornim upravljanjem ljudskim potencijalima, kao i djelotvornim i učinkovitim upravljanjem resursima i poslovnim procesima povećava se kvaliteta usluge u vidu povećanja ažurnosti i učinkovitosti te smanjenje troškova poslovanja.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Minis</w:t>
            </w:r>
            <w:r>
              <w:rPr>
                <w:rFonts w:cs="Times New Roman"/>
              </w:rPr>
              <w:t xml:space="preserve">tarstvo mora, </w:t>
            </w:r>
          </w:p>
          <w:p w:rsidR="00895DD6" w:rsidRDefault="00F31687">
            <w:pPr>
              <w:pStyle w:val="CellColumn"/>
              <w:jc w:val="right"/>
            </w:pPr>
            <w:r>
              <w:rPr>
                <w:rFonts w:cs="Times New Roman"/>
              </w:rPr>
              <w:t xml:space="preserve">prometa i </w:t>
            </w:r>
          </w:p>
          <w:p w:rsidR="00895DD6" w:rsidRDefault="00F31687">
            <w:pPr>
              <w:pStyle w:val="CellColumn"/>
              <w:jc w:val="right"/>
            </w:pPr>
            <w:r>
              <w:rPr>
                <w:rFonts w:cs="Times New Roman"/>
              </w:rPr>
              <w:t>infrastrukture</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A250997 OBVEZE PO SUDSKIM SPOROVIMA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A250997-OBVEZE PO SUDSKIM SPOROVIMA</w:t>
            </w:r>
          </w:p>
        </w:tc>
        <w:tc>
          <w:tcPr>
            <w:tcW w:w="2041" w:type="dxa"/>
          </w:tcPr>
          <w:p w:rsidR="00895DD6" w:rsidRDefault="00F31687">
            <w:pPr>
              <w:pStyle w:val="CellColumn"/>
              <w:jc w:val="right"/>
            </w:pPr>
            <w:r>
              <w:rPr>
                <w:rFonts w:cs="Times New Roman"/>
              </w:rPr>
              <w:t>303.412</w:t>
            </w:r>
          </w:p>
        </w:tc>
        <w:tc>
          <w:tcPr>
            <w:tcW w:w="2041" w:type="dxa"/>
          </w:tcPr>
          <w:p w:rsidR="00895DD6" w:rsidRDefault="00F31687">
            <w:pPr>
              <w:pStyle w:val="CellColumn"/>
              <w:jc w:val="right"/>
            </w:pPr>
            <w:r>
              <w:rPr>
                <w:rFonts w:cs="Times New Roman"/>
              </w:rPr>
              <w:t>221.825</w:t>
            </w:r>
          </w:p>
        </w:tc>
        <w:tc>
          <w:tcPr>
            <w:tcW w:w="2041" w:type="dxa"/>
          </w:tcPr>
          <w:p w:rsidR="00895DD6" w:rsidRDefault="00F31687">
            <w:pPr>
              <w:pStyle w:val="CellColumn"/>
              <w:jc w:val="right"/>
            </w:pPr>
            <w:r>
              <w:rPr>
                <w:rFonts w:cs="Times New Roman"/>
              </w:rPr>
              <w:t>163.298</w:t>
            </w:r>
          </w:p>
        </w:tc>
        <w:tc>
          <w:tcPr>
            <w:tcW w:w="1224" w:type="dxa"/>
          </w:tcPr>
          <w:p w:rsidR="00895DD6" w:rsidRDefault="00F31687">
            <w:pPr>
              <w:pStyle w:val="CellColumn"/>
              <w:jc w:val="right"/>
            </w:pPr>
            <w:r>
              <w:rPr>
                <w:rFonts w:cs="Times New Roman"/>
              </w:rPr>
              <w:t>73,6</w:t>
            </w:r>
          </w:p>
        </w:tc>
        <w:tc>
          <w:tcPr>
            <w:tcW w:w="1224" w:type="dxa"/>
          </w:tcPr>
          <w:p w:rsidR="00895DD6" w:rsidRDefault="00F31687">
            <w:pPr>
              <w:pStyle w:val="CellColumn"/>
              <w:jc w:val="right"/>
            </w:pPr>
            <w:r>
              <w:rPr>
                <w:rFonts w:cs="Times New Roman"/>
              </w:rPr>
              <w:t>53,8</w:t>
            </w:r>
          </w:p>
        </w:tc>
      </w:tr>
    </w:tbl>
    <w:p w:rsidR="00895DD6" w:rsidRDefault="00895DD6">
      <w:pPr>
        <w:jc w:val="left"/>
      </w:pPr>
    </w:p>
    <w:p w:rsidR="00895DD6" w:rsidRDefault="00F31687">
      <w:pPr>
        <w:pStyle w:val="Heading8"/>
        <w:jc w:val="left"/>
      </w:pPr>
      <w:r>
        <w:t>Zakonske i druge pravne osnove</w:t>
      </w:r>
    </w:p>
    <w:p w:rsidR="00895DD6" w:rsidRDefault="00F31687">
      <w:r>
        <w:t>- Zakon o sustavu državne uprave, članak 9. i članak 53.</w:t>
      </w:r>
    </w:p>
    <w:p w:rsidR="00895DD6" w:rsidRDefault="00F31687">
      <w:pPr>
        <w:pStyle w:val="Heading8"/>
        <w:jc w:val="left"/>
      </w:pPr>
      <w:r>
        <w:t>Opis aktivnosti</w:t>
      </w:r>
    </w:p>
    <w:p w:rsidR="00895DD6" w:rsidRDefault="00F31687">
      <w:r>
        <w:t>Sredstva u okviru ove aktivnosti utrošena su za podmirenje obveza po izgubljenim sudskim sporovima i plaćanje  pripadajućih sudskih troškova.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w:t>
            </w:r>
            <w:r>
              <w:rPr>
                <w:rFonts w:cs="Times New Roman"/>
              </w:rPr>
              <w:t>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pokrivenih troškova sudskih sporova</w:t>
            </w:r>
          </w:p>
        </w:tc>
        <w:tc>
          <w:tcPr>
            <w:tcW w:w="2551" w:type="dxa"/>
          </w:tcPr>
          <w:p w:rsidR="00895DD6" w:rsidRDefault="00F31687">
            <w:pPr>
              <w:pStyle w:val="CellColumn"/>
              <w:jc w:val="left"/>
            </w:pPr>
            <w:r>
              <w:rPr>
                <w:rFonts w:cs="Times New Roman"/>
              </w:rPr>
              <w:t>Pokrivanje svih troškova proizašlih iz sudskih sporova.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A570000 ADMINISTRACIJA I UPRAVLJANJE</w:t>
      </w:r>
    </w:p>
    <w:tbl>
      <w:tblPr>
        <w:tblStyle w:val="StilTablice"/>
        <w:tblW w:w="10206" w:type="dxa"/>
        <w:jc w:val="center"/>
        <w:tblLook w:val="04A0" w:firstRow="1" w:lastRow="0" w:firstColumn="1" w:lastColumn="0" w:noHBand="0" w:noVBand="1"/>
      </w:tblPr>
      <w:tblGrid>
        <w:gridCol w:w="1792"/>
        <w:gridCol w:w="1995"/>
        <w:gridCol w:w="1995"/>
        <w:gridCol w:w="1995"/>
        <w:gridCol w:w="1212"/>
        <w:gridCol w:w="1217"/>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A570000-ADMINISTRACIJA I UPRAVLJANJE</w:t>
            </w:r>
          </w:p>
        </w:tc>
        <w:tc>
          <w:tcPr>
            <w:tcW w:w="2041" w:type="dxa"/>
          </w:tcPr>
          <w:p w:rsidR="00895DD6" w:rsidRDefault="00F31687">
            <w:pPr>
              <w:pStyle w:val="CellColumn"/>
              <w:jc w:val="right"/>
            </w:pPr>
            <w:r>
              <w:rPr>
                <w:rFonts w:cs="Times New Roman"/>
              </w:rPr>
              <w:t>14.470.668</w:t>
            </w:r>
          </w:p>
        </w:tc>
        <w:tc>
          <w:tcPr>
            <w:tcW w:w="2041" w:type="dxa"/>
          </w:tcPr>
          <w:p w:rsidR="00895DD6" w:rsidRDefault="00F31687">
            <w:pPr>
              <w:pStyle w:val="CellColumn"/>
              <w:jc w:val="right"/>
            </w:pPr>
            <w:r>
              <w:rPr>
                <w:rFonts w:cs="Times New Roman"/>
              </w:rPr>
              <w:t>15.939.899</w:t>
            </w:r>
          </w:p>
        </w:tc>
        <w:tc>
          <w:tcPr>
            <w:tcW w:w="2041" w:type="dxa"/>
          </w:tcPr>
          <w:p w:rsidR="00895DD6" w:rsidRDefault="00F31687">
            <w:pPr>
              <w:pStyle w:val="CellColumn"/>
              <w:jc w:val="right"/>
            </w:pPr>
            <w:r>
              <w:rPr>
                <w:rFonts w:cs="Times New Roman"/>
              </w:rPr>
              <w:t>15.679.549</w:t>
            </w:r>
          </w:p>
        </w:tc>
        <w:tc>
          <w:tcPr>
            <w:tcW w:w="1224" w:type="dxa"/>
          </w:tcPr>
          <w:p w:rsidR="00895DD6" w:rsidRDefault="00F31687">
            <w:pPr>
              <w:pStyle w:val="CellColumn"/>
              <w:jc w:val="right"/>
            </w:pPr>
            <w:r>
              <w:rPr>
                <w:rFonts w:cs="Times New Roman"/>
              </w:rPr>
              <w:t>98,4</w:t>
            </w:r>
          </w:p>
        </w:tc>
        <w:tc>
          <w:tcPr>
            <w:tcW w:w="1224" w:type="dxa"/>
          </w:tcPr>
          <w:p w:rsidR="00895DD6" w:rsidRDefault="00F31687">
            <w:pPr>
              <w:pStyle w:val="CellColumn"/>
              <w:jc w:val="right"/>
            </w:pPr>
            <w:r>
              <w:rPr>
                <w:rFonts w:cs="Times New Roman"/>
              </w:rPr>
              <w:t>108,4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sustavu državne uprave  </w:t>
      </w:r>
    </w:p>
    <w:p w:rsidR="00895DD6" w:rsidRDefault="00F31687">
      <w:r>
        <w:t xml:space="preserve">- Uredba o načelima za unutarnje ustrojstvo tijela državne uprave  </w:t>
      </w:r>
    </w:p>
    <w:p w:rsidR="00895DD6" w:rsidRDefault="00F31687">
      <w:r>
        <w:t xml:space="preserve">- Uredba o unutarnjem ustrojstvu Ministarstva mora, prometa i infrastrukture  </w:t>
      </w:r>
    </w:p>
    <w:p w:rsidR="00895DD6" w:rsidRDefault="00F31687">
      <w:r>
        <w:lastRenderedPageBreak/>
        <w:t xml:space="preserve">- Kolektivni ugovor za državne službenike i namještenike  </w:t>
      </w:r>
    </w:p>
    <w:p w:rsidR="00895DD6" w:rsidRDefault="00F31687">
      <w:r>
        <w:t xml:space="preserve">- Zakon o javnoj nabavi  </w:t>
      </w:r>
    </w:p>
    <w:p w:rsidR="00895DD6" w:rsidRDefault="00F31687">
      <w:r>
        <w:t>- Zakon o upravljanju dr</w:t>
      </w:r>
      <w:r>
        <w:t xml:space="preserve">žavnom imovinom  </w:t>
      </w:r>
    </w:p>
    <w:p w:rsidR="00895DD6" w:rsidRDefault="00F31687">
      <w:r>
        <w:t xml:space="preserve">- Zakon o informacijskoj sigurnosti </w:t>
      </w:r>
    </w:p>
    <w:p w:rsidR="00895DD6" w:rsidRDefault="00F31687">
      <w:r>
        <w:t xml:space="preserve">- Zakon o proračunu  </w:t>
      </w:r>
    </w:p>
    <w:p w:rsidR="00895DD6" w:rsidRDefault="00F31687">
      <w:r>
        <w:t xml:space="preserve">- Zakon o fiskalnoj odgovornosti  </w:t>
      </w:r>
    </w:p>
    <w:p w:rsidR="00895DD6" w:rsidRDefault="00F31687">
      <w:r>
        <w:t>- i svi ostali relevantni propisi.</w:t>
      </w:r>
    </w:p>
    <w:p w:rsidR="00895DD6" w:rsidRDefault="00F31687">
      <w:pPr>
        <w:pStyle w:val="Heading8"/>
        <w:jc w:val="left"/>
      </w:pPr>
      <w:r>
        <w:t>Opis aktivnosti</w:t>
      </w:r>
    </w:p>
    <w:p w:rsidR="00895DD6" w:rsidRDefault="00F31687">
      <w:r>
        <w:t>U okviru ove aktivnosti sredstva su utrošena za pokriće troškova plaća i ostalih troškova zap</w:t>
      </w:r>
      <w:r>
        <w:t>oslenika Ministarstva, osim službenika i namještenika Uprave sigurnosti plovidbe i službenika čije se plaće osiguravaju iz sredstava tehničke pomoći. Ujedno, sredstva su utrošena za obavljanje redovite djelatnosti Ministarstva i to kroz pokriće materijalni</w:t>
      </w:r>
      <w:r>
        <w:t>h rashoda koji nastaju u sjedištu Ministarstva i na lokacijama na kojima su smješteni inspektori prometne inspekcije i djelatnici Uprave unutarnje plovidbe, te za troškove energije, zaštite na radu, komunalne usluge, usluge čišćenja, pošte, prijevoza, ured</w:t>
      </w:r>
      <w:r>
        <w:t>skog materijala, službenih putovanja, nabave uredske opreme i namještaja, komunikacijske opreme, opreme za održavanje i zaštitu i slično.</w:t>
      </w:r>
    </w:p>
    <w:p w:rsidR="00895DD6" w:rsidRDefault="00F31687">
      <w:pPr>
        <w:pStyle w:val="Heading4"/>
      </w:pPr>
      <w:r>
        <w:t>K570319 OBNOVA VOZNOG PARKA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w:t>
            </w:r>
            <w:r>
              <w:rPr>
                <w:rFonts w:cs="Times New Roman"/>
              </w:rPr>
              <w:t>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K570319-OBNOVA VOZNOG PARKA</w:t>
            </w:r>
          </w:p>
        </w:tc>
        <w:tc>
          <w:tcPr>
            <w:tcW w:w="2041" w:type="dxa"/>
          </w:tcPr>
          <w:p w:rsidR="00895DD6" w:rsidRDefault="00F31687">
            <w:pPr>
              <w:pStyle w:val="CellColumn"/>
              <w:jc w:val="right"/>
            </w:pPr>
            <w:r>
              <w:rPr>
                <w:rFonts w:cs="Times New Roman"/>
              </w:rPr>
              <w:t>263.646</w:t>
            </w:r>
          </w:p>
        </w:tc>
        <w:tc>
          <w:tcPr>
            <w:tcW w:w="2041" w:type="dxa"/>
          </w:tcPr>
          <w:p w:rsidR="00895DD6" w:rsidRDefault="00F31687">
            <w:pPr>
              <w:pStyle w:val="CellColumn"/>
              <w:jc w:val="right"/>
            </w:pPr>
            <w:r>
              <w:rPr>
                <w:rFonts w:cs="Times New Roman"/>
              </w:rPr>
              <w:t>516.500</w:t>
            </w:r>
          </w:p>
        </w:tc>
        <w:tc>
          <w:tcPr>
            <w:tcW w:w="2041" w:type="dxa"/>
          </w:tcPr>
          <w:p w:rsidR="00895DD6" w:rsidRDefault="00F31687">
            <w:pPr>
              <w:pStyle w:val="CellColumn"/>
              <w:jc w:val="right"/>
            </w:pPr>
            <w:r>
              <w:rPr>
                <w:rFonts w:cs="Times New Roman"/>
              </w:rPr>
              <w:t>500.078</w:t>
            </w:r>
          </w:p>
        </w:tc>
        <w:tc>
          <w:tcPr>
            <w:tcW w:w="1224" w:type="dxa"/>
          </w:tcPr>
          <w:p w:rsidR="00895DD6" w:rsidRDefault="00F31687">
            <w:pPr>
              <w:pStyle w:val="CellColumn"/>
              <w:jc w:val="right"/>
            </w:pPr>
            <w:r>
              <w:rPr>
                <w:rFonts w:cs="Times New Roman"/>
              </w:rPr>
              <w:t>96,8</w:t>
            </w:r>
          </w:p>
        </w:tc>
        <w:tc>
          <w:tcPr>
            <w:tcW w:w="1224" w:type="dxa"/>
          </w:tcPr>
          <w:p w:rsidR="00895DD6" w:rsidRDefault="00F31687">
            <w:pPr>
              <w:pStyle w:val="CellColumn"/>
              <w:jc w:val="right"/>
            </w:pPr>
            <w:r>
              <w:rPr>
                <w:rFonts w:cs="Times New Roman"/>
              </w:rPr>
              <w:t>189,7</w:t>
            </w:r>
          </w:p>
        </w:tc>
      </w:tr>
    </w:tbl>
    <w:p w:rsidR="00895DD6" w:rsidRDefault="00895DD6">
      <w:pPr>
        <w:jc w:val="left"/>
      </w:pPr>
    </w:p>
    <w:p w:rsidR="00895DD6" w:rsidRDefault="00F31687">
      <w:pPr>
        <w:pStyle w:val="Heading8"/>
        <w:jc w:val="left"/>
      </w:pPr>
      <w:r>
        <w:t>Zakonske i druge pravne osnove</w:t>
      </w:r>
    </w:p>
    <w:p w:rsidR="00895DD6" w:rsidRDefault="00F31687">
      <w:r>
        <w:t>- Zakon o sustavu državne uprave članak 9. i članak 53.</w:t>
      </w:r>
    </w:p>
    <w:p w:rsidR="00895DD6" w:rsidRDefault="00F31687">
      <w:pPr>
        <w:pStyle w:val="Heading8"/>
        <w:jc w:val="left"/>
      </w:pPr>
      <w:r>
        <w:t>Opis aktivnosti</w:t>
      </w:r>
    </w:p>
    <w:p w:rsidR="00895DD6" w:rsidRDefault="00F31687">
      <w:r>
        <w:t>Sredstva u okviru ovog projekta utrošena su za nabavu službenih vozila, podmirenje rata leasinga temeljem ranije zaključenih ugovora, redovno održavanje vozila u vlasništvu Ministarstva, kupnju automobilskih guma, osiguranja i tehničkog pregleda vozila.</w:t>
      </w:r>
    </w:p>
    <w:p w:rsidR="00895DD6" w:rsidRDefault="00F31687">
      <w:pPr>
        <w:pStyle w:val="Heading4"/>
      </w:pPr>
      <w:r>
        <w:t>K5</w:t>
      </w:r>
      <w:r>
        <w:t>70321 INFORMATIZACIJA</w:t>
      </w:r>
    </w:p>
    <w:tbl>
      <w:tblPr>
        <w:tblStyle w:val="StilTablice"/>
        <w:tblW w:w="10206" w:type="dxa"/>
        <w:jc w:val="center"/>
        <w:tblLook w:val="04A0" w:firstRow="1" w:lastRow="0" w:firstColumn="1" w:lastColumn="0" w:noHBand="0" w:noVBand="1"/>
      </w:tblPr>
      <w:tblGrid>
        <w:gridCol w:w="1914"/>
        <w:gridCol w:w="1958"/>
        <w:gridCol w:w="1958"/>
        <w:gridCol w:w="1958"/>
        <w:gridCol w:w="1205"/>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K570321-INFORMATIZACIJA</w:t>
            </w:r>
          </w:p>
        </w:tc>
        <w:tc>
          <w:tcPr>
            <w:tcW w:w="2041" w:type="dxa"/>
          </w:tcPr>
          <w:p w:rsidR="00895DD6" w:rsidRDefault="00F31687">
            <w:pPr>
              <w:pStyle w:val="CellColumn"/>
              <w:jc w:val="right"/>
            </w:pPr>
            <w:r>
              <w:rPr>
                <w:rFonts w:cs="Times New Roman"/>
              </w:rPr>
              <w:t>2.503.553</w:t>
            </w:r>
          </w:p>
        </w:tc>
        <w:tc>
          <w:tcPr>
            <w:tcW w:w="2041" w:type="dxa"/>
          </w:tcPr>
          <w:p w:rsidR="00895DD6" w:rsidRDefault="00F31687">
            <w:pPr>
              <w:pStyle w:val="CellColumn"/>
              <w:jc w:val="right"/>
            </w:pPr>
            <w:r>
              <w:rPr>
                <w:rFonts w:cs="Times New Roman"/>
              </w:rPr>
              <w:t>2.446.164</w:t>
            </w:r>
          </w:p>
        </w:tc>
        <w:tc>
          <w:tcPr>
            <w:tcW w:w="2041" w:type="dxa"/>
          </w:tcPr>
          <w:p w:rsidR="00895DD6" w:rsidRDefault="00F31687">
            <w:pPr>
              <w:pStyle w:val="CellColumn"/>
              <w:jc w:val="right"/>
            </w:pPr>
            <w:r>
              <w:rPr>
                <w:rFonts w:cs="Times New Roman"/>
              </w:rPr>
              <w:t>2.283.909</w:t>
            </w:r>
          </w:p>
        </w:tc>
        <w:tc>
          <w:tcPr>
            <w:tcW w:w="1224" w:type="dxa"/>
          </w:tcPr>
          <w:p w:rsidR="00895DD6" w:rsidRDefault="00F31687">
            <w:pPr>
              <w:pStyle w:val="CellColumn"/>
              <w:jc w:val="right"/>
            </w:pPr>
            <w:r>
              <w:rPr>
                <w:rFonts w:cs="Times New Roman"/>
              </w:rPr>
              <w:t>93,4</w:t>
            </w:r>
          </w:p>
        </w:tc>
        <w:tc>
          <w:tcPr>
            <w:tcW w:w="1224" w:type="dxa"/>
          </w:tcPr>
          <w:p w:rsidR="00895DD6" w:rsidRDefault="00F31687">
            <w:pPr>
              <w:pStyle w:val="CellColumn"/>
              <w:jc w:val="right"/>
            </w:pPr>
            <w:r>
              <w:rPr>
                <w:rFonts w:cs="Times New Roman"/>
              </w:rPr>
              <w:t>91,2</w:t>
            </w:r>
          </w:p>
        </w:tc>
      </w:tr>
    </w:tbl>
    <w:p w:rsidR="00895DD6" w:rsidRDefault="00895DD6">
      <w:pPr>
        <w:jc w:val="left"/>
      </w:pPr>
    </w:p>
    <w:p w:rsidR="00895DD6" w:rsidRDefault="00F31687">
      <w:pPr>
        <w:pStyle w:val="Heading8"/>
        <w:jc w:val="left"/>
      </w:pPr>
      <w:r>
        <w:t>Zakonske i druge pravne osnove</w:t>
      </w:r>
    </w:p>
    <w:p w:rsidR="00895DD6" w:rsidRDefault="00F31687">
      <w:r>
        <w:t>- Zakon o sustavu državne uprave članak 9. i članak 53.</w:t>
      </w:r>
    </w:p>
    <w:p w:rsidR="00895DD6" w:rsidRDefault="00F31687">
      <w:pPr>
        <w:pStyle w:val="Heading8"/>
        <w:jc w:val="left"/>
      </w:pPr>
      <w:r>
        <w:t>Opis aktivnosti</w:t>
      </w:r>
    </w:p>
    <w:p w:rsidR="00895DD6" w:rsidRDefault="00F31687">
      <w:r>
        <w:t>Sredstva u okviru ovog projekta utrošena su za redovno održavanje aplikacija informatičkog sustava Ministarstva i nabavu komunikacijske i informatičke op</w:t>
      </w:r>
      <w:r>
        <w:t>reme te licenci.</w:t>
      </w:r>
    </w:p>
    <w:p w:rsidR="00895DD6" w:rsidRDefault="00F31687">
      <w:pPr>
        <w:pStyle w:val="Heading4"/>
      </w:pPr>
      <w:r>
        <w:lastRenderedPageBreak/>
        <w:t>K810016 REKONSTRUKCIJA, OBNOVA I ODRŽAVANJE POSLOVNIH ZGRADA MINISTARSTVA</w:t>
      </w:r>
    </w:p>
    <w:tbl>
      <w:tblPr>
        <w:tblStyle w:val="StilTablice"/>
        <w:tblW w:w="10206" w:type="dxa"/>
        <w:jc w:val="center"/>
        <w:tblLook w:val="04A0" w:firstRow="1" w:lastRow="0" w:firstColumn="1" w:lastColumn="0" w:noHBand="0" w:noVBand="1"/>
      </w:tblPr>
      <w:tblGrid>
        <w:gridCol w:w="1932"/>
        <w:gridCol w:w="1954"/>
        <w:gridCol w:w="1948"/>
        <w:gridCol w:w="1954"/>
        <w:gridCol w:w="1205"/>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K810016-REKONSTRUKCIJA, OBNOVA I ODRŽAVANJE POSLOVNIH ZGRADA MINISTARSTVA</w:t>
            </w:r>
          </w:p>
        </w:tc>
        <w:tc>
          <w:tcPr>
            <w:tcW w:w="2041" w:type="dxa"/>
          </w:tcPr>
          <w:p w:rsidR="00895DD6" w:rsidRDefault="00F31687">
            <w:pPr>
              <w:pStyle w:val="CellColumn"/>
              <w:jc w:val="right"/>
            </w:pPr>
            <w:r>
              <w:rPr>
                <w:rFonts w:cs="Times New Roman"/>
              </w:rPr>
              <w:t>665.343</w:t>
            </w:r>
          </w:p>
        </w:tc>
        <w:tc>
          <w:tcPr>
            <w:tcW w:w="2041" w:type="dxa"/>
          </w:tcPr>
          <w:p w:rsidR="00895DD6" w:rsidRDefault="00F31687">
            <w:pPr>
              <w:pStyle w:val="CellColumn"/>
              <w:jc w:val="right"/>
            </w:pPr>
            <w:r>
              <w:rPr>
                <w:rFonts w:cs="Times New Roman"/>
              </w:rPr>
              <w:t>784.362</w:t>
            </w:r>
          </w:p>
        </w:tc>
        <w:tc>
          <w:tcPr>
            <w:tcW w:w="2041" w:type="dxa"/>
          </w:tcPr>
          <w:p w:rsidR="00895DD6" w:rsidRDefault="00F31687">
            <w:pPr>
              <w:pStyle w:val="CellColumn"/>
              <w:jc w:val="right"/>
            </w:pPr>
            <w:r>
              <w:rPr>
                <w:rFonts w:cs="Times New Roman"/>
              </w:rPr>
              <w:t>729.519</w:t>
            </w:r>
          </w:p>
        </w:tc>
        <w:tc>
          <w:tcPr>
            <w:tcW w:w="1224" w:type="dxa"/>
          </w:tcPr>
          <w:p w:rsidR="00895DD6" w:rsidRDefault="00F31687">
            <w:pPr>
              <w:pStyle w:val="CellColumn"/>
              <w:jc w:val="right"/>
            </w:pPr>
            <w:r>
              <w:rPr>
                <w:rFonts w:cs="Times New Roman"/>
              </w:rPr>
              <w:t>93,0</w:t>
            </w:r>
          </w:p>
        </w:tc>
        <w:tc>
          <w:tcPr>
            <w:tcW w:w="1224" w:type="dxa"/>
          </w:tcPr>
          <w:p w:rsidR="00895DD6" w:rsidRDefault="00F31687">
            <w:pPr>
              <w:pStyle w:val="CellColumn"/>
              <w:jc w:val="right"/>
            </w:pPr>
            <w:r>
              <w:rPr>
                <w:rFonts w:cs="Times New Roman"/>
              </w:rPr>
              <w:t>109,6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sustavu državne uprave, članak 9. i članak 53. </w:t>
      </w:r>
    </w:p>
    <w:p w:rsidR="00895DD6" w:rsidRDefault="00F31687">
      <w:r>
        <w:t>- Zakon o upravljanju državnom imovinom</w:t>
      </w:r>
    </w:p>
    <w:p w:rsidR="00895DD6" w:rsidRDefault="00F31687">
      <w:pPr>
        <w:pStyle w:val="Heading8"/>
        <w:jc w:val="left"/>
      </w:pPr>
      <w:r>
        <w:t>Opis aktivnosti</w:t>
      </w:r>
    </w:p>
    <w:p w:rsidR="00895DD6" w:rsidRDefault="00F31687">
      <w:r>
        <w:t>Sredstva u okviru ovog projekta utrošena su za tekuće održavanje objekata na lokaciji Prisavlje i Krležin Gvozd te poslovnih prostora inspekcije cestovnog prometa i cesta i Uprave unutarnje plovidbe izvan sjedišta Ministarstva. U cilju dodatnog povećanja e</w:t>
      </w:r>
      <w:r>
        <w:t>nergetske učinkovitosti zgrade Kockica završeni su radovi izgradnje solarne elektrane te je ista puštena u pogon.</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w:t>
            </w:r>
            <w:r>
              <w:rPr>
                <w:rFonts w:cs="Times New Roman"/>
              </w:rPr>
              <w:t>st (2025.)</w:t>
            </w:r>
          </w:p>
        </w:tc>
      </w:tr>
      <w:tr w:rsidR="00895DD6">
        <w:trPr>
          <w:jc w:val="center"/>
        </w:trPr>
        <w:tc>
          <w:tcPr>
            <w:tcW w:w="2551" w:type="dxa"/>
          </w:tcPr>
          <w:p w:rsidR="00895DD6" w:rsidRDefault="00F31687">
            <w:pPr>
              <w:pStyle w:val="CellColumn"/>
              <w:jc w:val="left"/>
            </w:pPr>
            <w:r>
              <w:rPr>
                <w:rFonts w:cs="Times New Roman"/>
              </w:rPr>
              <w:t>Postotak izvršenja ugovora o nabavi i ugradnja opreme za solarnu elektranu na zgradi Kockica</w:t>
            </w:r>
          </w:p>
        </w:tc>
        <w:tc>
          <w:tcPr>
            <w:tcW w:w="2551" w:type="dxa"/>
          </w:tcPr>
          <w:p w:rsidR="00895DD6" w:rsidRDefault="00F31687">
            <w:pPr>
              <w:pStyle w:val="CellColumn"/>
              <w:jc w:val="left"/>
            </w:pPr>
            <w:r>
              <w:rPr>
                <w:rFonts w:cs="Times New Roman"/>
              </w:rPr>
              <w:t>Izvršenje ugovorenih radova ugradnje opreme za solarnu elektranu na zgradi Kockica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80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T754069 PROGRAM DODJELE DRŽAVNIH POTPORA SEKTORU MORA, PROMETA, PROMETNE INFRASTRUKTURE I POVEZANIM DJELATNOSTIMA U AKTUALNOJ PANDEMIJI COVID-a 19</w:t>
      </w:r>
    </w:p>
    <w:tbl>
      <w:tblPr>
        <w:tblStyle w:val="StilTablice"/>
        <w:tblW w:w="10206" w:type="dxa"/>
        <w:jc w:val="center"/>
        <w:tblLook w:val="04A0" w:firstRow="1" w:lastRow="0" w:firstColumn="1" w:lastColumn="0" w:noHBand="0" w:noVBand="1"/>
      </w:tblPr>
      <w:tblGrid>
        <w:gridCol w:w="1892"/>
        <w:gridCol w:w="1965"/>
        <w:gridCol w:w="1961"/>
        <w:gridCol w:w="1966"/>
        <w:gridCol w:w="1208"/>
        <w:gridCol w:w="121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w:t>
            </w:r>
            <w:r>
              <w:rPr>
                <w:rFonts w:cs="Times New Roman"/>
              </w:rPr>
              <w:t>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T754069-PROGRAM DODJELE DRŽAVNIH POTPORA SEKTORU MORA, PROMETA, PROMETNE INFRASTRUKTURE I POVEZANIM DJELATNOSTIMA U AKTUALNOJ PANDEMIJI COVID-a 19</w:t>
            </w:r>
          </w:p>
        </w:tc>
        <w:tc>
          <w:tcPr>
            <w:tcW w:w="2041" w:type="dxa"/>
          </w:tcPr>
          <w:p w:rsidR="00895DD6" w:rsidRDefault="00F31687">
            <w:pPr>
              <w:pStyle w:val="CellColumn"/>
              <w:jc w:val="right"/>
            </w:pPr>
            <w:r>
              <w:rPr>
                <w:rFonts w:cs="Times New Roman"/>
              </w:rPr>
              <w:t>19.186</w:t>
            </w:r>
          </w:p>
        </w:tc>
        <w:tc>
          <w:tcPr>
            <w:tcW w:w="2041" w:type="dxa"/>
          </w:tcPr>
          <w:p w:rsidR="00895DD6" w:rsidRDefault="00F31687">
            <w:pPr>
              <w:pStyle w:val="CellColumn"/>
              <w:jc w:val="right"/>
            </w:pPr>
            <w:r>
              <w:rPr>
                <w:rFonts w:cs="Times New Roman"/>
              </w:rPr>
              <w:t>672.591</w:t>
            </w:r>
          </w:p>
        </w:tc>
        <w:tc>
          <w:tcPr>
            <w:tcW w:w="2041" w:type="dxa"/>
          </w:tcPr>
          <w:p w:rsidR="00895DD6" w:rsidRDefault="00F31687">
            <w:pPr>
              <w:pStyle w:val="CellColumn"/>
              <w:jc w:val="right"/>
            </w:pPr>
            <w:r>
              <w:rPr>
                <w:rFonts w:cs="Times New Roman"/>
              </w:rPr>
              <w:t>654.777</w:t>
            </w:r>
          </w:p>
        </w:tc>
        <w:tc>
          <w:tcPr>
            <w:tcW w:w="1224" w:type="dxa"/>
          </w:tcPr>
          <w:p w:rsidR="00895DD6" w:rsidRDefault="00F31687">
            <w:pPr>
              <w:pStyle w:val="CellColumn"/>
              <w:jc w:val="right"/>
            </w:pPr>
            <w:r>
              <w:rPr>
                <w:rFonts w:cs="Times New Roman"/>
              </w:rPr>
              <w:t>97,4</w:t>
            </w:r>
          </w:p>
        </w:tc>
        <w:tc>
          <w:tcPr>
            <w:tcW w:w="1224" w:type="dxa"/>
          </w:tcPr>
          <w:p w:rsidR="00895DD6" w:rsidRDefault="00F31687">
            <w:pPr>
              <w:pStyle w:val="CellColumn"/>
              <w:jc w:val="right"/>
            </w:pPr>
            <w:r>
              <w:rPr>
                <w:rFonts w:cs="Times New Roman"/>
              </w:rPr>
              <w:t>3412,8</w:t>
            </w:r>
          </w:p>
        </w:tc>
      </w:tr>
    </w:tbl>
    <w:p w:rsidR="00895DD6" w:rsidRDefault="00895DD6">
      <w:pPr>
        <w:jc w:val="left"/>
      </w:pPr>
    </w:p>
    <w:p w:rsidR="00895DD6" w:rsidRDefault="00F31687">
      <w:pPr>
        <w:pStyle w:val="Heading8"/>
        <w:jc w:val="left"/>
      </w:pPr>
      <w:r>
        <w:t>Zakonske i druge pravne osnove</w:t>
      </w:r>
    </w:p>
    <w:p w:rsidR="00895DD6" w:rsidRDefault="00F31687">
      <w:r>
        <w:t xml:space="preserve">- Sporazum o suradnji u provedbi Programa dodjele državnih potpora između MMPI i HABOR-a  </w:t>
      </w:r>
    </w:p>
    <w:p w:rsidR="00895DD6" w:rsidRDefault="00F31687">
      <w:r>
        <w:t xml:space="preserve">- Protokol o operativnoj provedbi Sporazuma između MMPI i HBOR  </w:t>
      </w:r>
    </w:p>
    <w:p w:rsidR="00895DD6" w:rsidRDefault="00F31687">
      <w:r>
        <w:t xml:space="preserve">- Ugovor o regresnoj naplati između MMPI i poslovnih banaka  </w:t>
      </w:r>
    </w:p>
    <w:p w:rsidR="00895DD6" w:rsidRDefault="00F31687">
      <w:r>
        <w:t>- MPUDT Registar državnih potpora</w:t>
      </w:r>
    </w:p>
    <w:p w:rsidR="00895DD6" w:rsidRDefault="00F31687">
      <w:pPr>
        <w:pStyle w:val="Heading8"/>
        <w:jc w:val="left"/>
      </w:pPr>
      <w:r>
        <w:t>Opis aktivnosti</w:t>
      </w:r>
    </w:p>
    <w:p w:rsidR="00895DD6" w:rsidRDefault="00F31687">
      <w:r>
        <w:t>Instrumenti državne potpore uređeni ovim Programom su državna jamstva za nove zajmove i ugovore o leasingu poduzetnika kod kreditnih i financijskih institucija te Hrvatske banke za obnovu i razvitak, potpore u obliku subvencioniranih kamatn</w:t>
      </w:r>
      <w:r>
        <w:t>ih stopa za zajmove i potpore u obliku dokapitalizacije. U slučaju dodjeljivanja potpora korisnicima, za potrebe refinanciranja ili restrukturiranje postojećih obaveza kod kreditnih i financijskih institucija, korist od novih plasmana osiguranih držanim ja</w:t>
      </w:r>
      <w:r>
        <w:t>mstvom prenijet će se na krajnje korisnike u obliku smanjenja postojećih kamatnih stopa, produljenja roka otplate kredita ili leasinga (s uključenim počekom) te povrata, odnosno stavljanja izvan snage danih osobnih instrumenata osiguranja od strane fizički</w:t>
      </w:r>
      <w:r>
        <w:t xml:space="preserve">h osoba vlasnika društava, koja su korisnici jamstva.  </w:t>
      </w:r>
    </w:p>
    <w:p w:rsidR="00895DD6" w:rsidRDefault="00F31687">
      <w:r>
        <w:t>Povećanje planiranih sredstava za razdoblje 2025.- 2027. temelji se na lošem financijskom rejtingu, kategoriji i ponderu rizika određenih velikih korisnika kredita, odnosno na procjeni mogućnosti i vo</w:t>
      </w:r>
      <w:r>
        <w:t>lje dužnika da u cijelosti i pravodobno podmiri sve dospjele obveze. Ukupna izloženost predstavlja teoretsku svotu ukupnih plaćanja u slučaju da se realiziraju preuzeti rizici po svim jamstvima, sukladno vjerojatnosti materijalizirane štete, a u skladu s m</w:t>
      </w:r>
      <w:r>
        <w:t xml:space="preserve">etodologijom Hrvatske banke za obnovu i razvoj (provedbeno tijelo koje je sklapalo ugovore u jamstvima). Program dodjele državnih potpora sektoru mora, prometa, prometne infrastrukture i drugih povezanih djelatnosti u aktualnoj pandemiji COVID-19, završio </w:t>
      </w:r>
      <w:r>
        <w:t xml:space="preserve">je 30. lipnja 2022. godine. </w:t>
      </w:r>
    </w:p>
    <w:p w:rsidR="00895DD6" w:rsidRDefault="00F31687">
      <w:r>
        <w:t xml:space="preserve">U 2025. godini s osnove tog Programa nije bilo izdavanja novih jamstava, a tijekom godine protestirana su tri jamstva. </w:t>
      </w:r>
    </w:p>
    <w:p w:rsidR="00895DD6" w:rsidRDefault="00F31687">
      <w:r>
        <w:t>Dana 21. siječnja 2025. godine korisnik jamstva Istarska kreditna banka d.d. je, temeljem Ugovora o jamstvu</w:t>
      </w:r>
      <w:r>
        <w:t xml:space="preserve"> broj 81/8 sklopljenog 30. prosinca 2020. godine, za dužnika Klanatrans d.o.o., nad kojim je u tijeku bio predstečajni postupak od 15. srpnja 2024., pozvala na plaćanje dospijelog nepodmirenog duga s osnove glavnice u iznosu 299.999,92 EUR radi otkaza ugov</w:t>
      </w:r>
      <w:r>
        <w:t xml:space="preserve">ora o kreditu broj 9600016092. Nad dužnikom Klanatrans d.o.o. pokrenut je stečajni postupak. </w:t>
      </w:r>
    </w:p>
    <w:p w:rsidR="00895DD6" w:rsidRDefault="00F31687">
      <w:r>
        <w:t>Radi dospjelog nenaplaćenog potraživanja s osnove kredita prema ugovoru broj 21038010103 Raiffeisen bank d.d. je dana 22. travnja 2025. godine za dužnika Đuran tr</w:t>
      </w:r>
      <w:r>
        <w:t xml:space="preserve">ansport d.o.o. pozvala na plaćanje duga s osnove glavnice u svoti 16.476,49 EUR, temeljem Ugovora o jamstvu broj 81/38. </w:t>
      </w:r>
    </w:p>
    <w:p w:rsidR="00895DD6" w:rsidRDefault="00F31687">
      <w:r>
        <w:t>Dana 30. srpnja 2025. godine korisnik jamstva Istarska kreditna banka pozvala je na bezuvjetno plaćanje za dužnika Banko transport d.o.</w:t>
      </w:r>
      <w:r>
        <w:t xml:space="preserve">o., nad kojim je u tijeku bio predstečajni postupak od 28. siječnja 2025. Poziv na plaćanje nenaplaćenih tražbina s osnove glavnice iz Ugovora o kreditu broj 9007026850 u iznosu 338.300,85 EUR izvršen je temeljem Ugovora o jamstvu broj 81/48. Nad dužnikom </w:t>
      </w:r>
      <w:r>
        <w:t>Banko transport  d.o.o. provodi se stečajni postupak, a sud je potvrdio Plan restrukturiranja prema kojem bi se tražbina s osnove jamstva trebala podmiriti u roku od 12 mjeseci na 60 jednakih mjesečnih rata.</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w:t>
            </w:r>
            <w:r>
              <w:rPr>
                <w:rFonts w:cs="Times New Roman"/>
              </w:rPr>
              <w:t>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Plaćanja protestiranih jamstava s osnove sklopljenih ugovora o jamstvu na prvi poziv</w:t>
            </w:r>
          </w:p>
        </w:tc>
        <w:tc>
          <w:tcPr>
            <w:tcW w:w="2551" w:type="dxa"/>
          </w:tcPr>
          <w:p w:rsidR="00895DD6" w:rsidRDefault="00F31687">
            <w:pPr>
              <w:pStyle w:val="CellColumn"/>
              <w:jc w:val="left"/>
            </w:pPr>
            <w:r>
              <w:rPr>
                <w:rFonts w:cs="Times New Roman"/>
              </w:rPr>
              <w:t>Procjena očekivane stope gubitka - plaćanja po pozvanim jamstvima (protest) od strane jamca (države) u odnosu na vrijednost izdanih jamstava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 Registar državnih potpora</w:t>
            </w:r>
          </w:p>
        </w:tc>
        <w:tc>
          <w:tcPr>
            <w:tcW w:w="1020" w:type="dxa"/>
          </w:tcPr>
          <w:p w:rsidR="00895DD6" w:rsidRDefault="00F31687">
            <w:pPr>
              <w:pStyle w:val="CellColumn"/>
              <w:jc w:val="right"/>
            </w:pPr>
            <w:r>
              <w:rPr>
                <w:rFonts w:cs="Times New Roman"/>
              </w:rPr>
              <w:t>3,8</w:t>
            </w:r>
          </w:p>
        </w:tc>
        <w:tc>
          <w:tcPr>
            <w:tcW w:w="1020" w:type="dxa"/>
          </w:tcPr>
          <w:p w:rsidR="00895DD6" w:rsidRDefault="00F31687">
            <w:pPr>
              <w:pStyle w:val="CellColumn"/>
              <w:jc w:val="right"/>
            </w:pPr>
            <w:r>
              <w:rPr>
                <w:rFonts w:cs="Times New Roman"/>
              </w:rPr>
              <w:t>2,23</w:t>
            </w:r>
          </w:p>
        </w:tc>
      </w:tr>
    </w:tbl>
    <w:p w:rsidR="00895DD6" w:rsidRDefault="00895DD6">
      <w:pPr>
        <w:jc w:val="left"/>
      </w:pPr>
    </w:p>
    <w:p w:rsidR="00895DD6" w:rsidRDefault="00F31687">
      <w:pPr>
        <w:pStyle w:val="Heading3"/>
      </w:pPr>
      <w:r>
        <w:rPr>
          <w:rFonts w:cs="Times New Roman"/>
        </w:rPr>
        <w:t>3107 RAZVOJ TRŽIŠTA POŠTANSKIH USLUGA I ELEKTRONIČKIH KOMUNIKACIJA</w:t>
      </w:r>
    </w:p>
    <w:tbl>
      <w:tblPr>
        <w:tblStyle w:val="StilTablice"/>
        <w:tblW w:w="10206" w:type="dxa"/>
        <w:jc w:val="center"/>
        <w:tblLook w:val="04A0" w:firstRow="1" w:lastRow="0" w:firstColumn="1" w:lastColumn="0" w:noHBand="0" w:noVBand="1"/>
      </w:tblPr>
      <w:tblGrid>
        <w:gridCol w:w="1725"/>
        <w:gridCol w:w="2014"/>
        <w:gridCol w:w="2015"/>
        <w:gridCol w:w="2015"/>
        <w:gridCol w:w="1217"/>
        <w:gridCol w:w="1220"/>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3107-RAZVOJ TRŽIŠTA POŠTANSKIH USLUGA I ELEKTRONIČKIH KOMUNIKACIJA</w:t>
            </w:r>
          </w:p>
        </w:tc>
        <w:tc>
          <w:tcPr>
            <w:tcW w:w="2041" w:type="dxa"/>
          </w:tcPr>
          <w:p w:rsidR="00895DD6" w:rsidRDefault="00F31687">
            <w:pPr>
              <w:pStyle w:val="CellColumn"/>
              <w:jc w:val="right"/>
            </w:pPr>
            <w:r>
              <w:rPr>
                <w:rFonts w:cs="Times New Roman"/>
              </w:rPr>
              <w:t>25.290.442</w:t>
            </w:r>
          </w:p>
        </w:tc>
        <w:tc>
          <w:tcPr>
            <w:tcW w:w="2041" w:type="dxa"/>
          </w:tcPr>
          <w:p w:rsidR="00895DD6" w:rsidRDefault="00F31687">
            <w:pPr>
              <w:pStyle w:val="CellColumn"/>
              <w:jc w:val="right"/>
            </w:pPr>
            <w:r>
              <w:rPr>
                <w:rFonts w:cs="Times New Roman"/>
              </w:rPr>
              <w:t>15.673.176</w:t>
            </w:r>
          </w:p>
        </w:tc>
        <w:tc>
          <w:tcPr>
            <w:tcW w:w="2041" w:type="dxa"/>
          </w:tcPr>
          <w:p w:rsidR="00895DD6" w:rsidRDefault="00F31687">
            <w:pPr>
              <w:pStyle w:val="CellColumn"/>
              <w:jc w:val="right"/>
            </w:pPr>
            <w:r>
              <w:rPr>
                <w:rFonts w:cs="Times New Roman"/>
              </w:rPr>
              <w:t>15.670.713</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62,0</w:t>
            </w:r>
          </w:p>
        </w:tc>
      </w:tr>
    </w:tbl>
    <w:p w:rsidR="00895DD6" w:rsidRDefault="00895DD6">
      <w:pPr>
        <w:jc w:val="left"/>
      </w:pPr>
    </w:p>
    <w:p w:rsidR="00895DD6" w:rsidRDefault="00F31687">
      <w:pPr>
        <w:pStyle w:val="Heading8"/>
        <w:jc w:val="left"/>
      </w:pPr>
      <w:r>
        <w:t>Cilj 1. Visoka i ujednačena razvijenost širokopojasnog pristupa internetu</w:t>
      </w:r>
    </w:p>
    <w:p w:rsidR="00895DD6" w:rsidRDefault="00F31687">
      <w:pPr>
        <w:pStyle w:val="Heading8"/>
        <w:jc w:val="left"/>
      </w:pPr>
      <w:r>
        <w:t>Opis provedbe cilja programa</w:t>
      </w:r>
    </w:p>
    <w:p w:rsidR="00895DD6" w:rsidRDefault="00F31687">
      <w:r>
        <w:t xml:space="preserve">Republika Hrvatska, unatoč brzom razvoju infrastrukture širokopojasnog pristupa, još uvijek ima značajan zaostatak gustoće širokopojasnih priključaka za </w:t>
      </w:r>
      <w:r>
        <w:t xml:space="preserve">prosjekom država članica Europske unije. Jedan od glavnih razloga zaostajanja u gustoći širokopojasnih priključaka je nedostatan i neravnomjeran razvoj širokopojasne infrastrukture, osobito u područjima u kojima ne postoji dostatan komercijalni interes za </w:t>
      </w:r>
      <w:r>
        <w:t xml:space="preserve">ulaganja u tu infrastrukturu.   </w:t>
      </w:r>
    </w:p>
    <w:p w:rsidR="00895DD6" w:rsidRDefault="00F31687">
      <w:r>
        <w:t>U skladu s navedenim, još uvijek značajan broj kućanstava, lokacija javne uprave, obrazovnih institucija i ustanova zdravstvene skrbi, kao i malih i srednjih poduzeća nije u mogućnosti pristupiti brzoj širokopojasnoj infras</w:t>
      </w:r>
      <w:r>
        <w:t xml:space="preserve">trukturi i koristiti napredne digitalne usluge, čime se koči ujednačen regionalni razvoj u Hrvatskoj i iskorištavanje socioekonomske koristi vezane uz raspoloživost širokopojasnih pristupnih mreža sljedeće generacije.  </w:t>
      </w:r>
    </w:p>
    <w:p w:rsidR="00895DD6" w:rsidRDefault="00F31687">
      <w:r>
        <w:t>Isključenost Hrvatske kao cjeline, o</w:t>
      </w:r>
      <w:r>
        <w:t>dnosno pojedinih njezinih regija iz procesa razvoja digitalnog gospodarstva, predstavlja jednu od najvećih strateških opasnosti za dugoročan gospodarski razvoj Hrvatske. Stoga je primarni cilj provesti utvrđene mjere javne politike, strategije i nacionalne</w:t>
      </w:r>
      <w:r>
        <w:t xml:space="preserve"> programe vezane uz izgradnju širokopojasne infrastrukture.  </w:t>
      </w:r>
    </w:p>
    <w:p w:rsidR="00895DD6" w:rsidRDefault="00F31687">
      <w:r>
        <w:t>Nastavno na strateške ciljeve Digitalne agende za Europu, Europska komisija usvojila je novi strateški okvir nazvan „Europsko gigabitno društvo“, koji obuhvaća i nove ciljeve širokopojasnog pris</w:t>
      </w:r>
      <w:r>
        <w:t xml:space="preserve">tupa koji postavljaju brzinu od 100 Mbit/s u smjeru korisnika kao najmanju brzinu za sva kućanstva u EU, uz mogućnost nadogradnje na brzine od 1 Gbit/s simetrično i više, te se potiču aktivnosti koje je potrebno provesti u cilju uvođenja 5G mreža.  </w:t>
      </w:r>
    </w:p>
    <w:p w:rsidR="00895DD6" w:rsidRDefault="00F31687">
      <w:r>
        <w:t>Kako b</w:t>
      </w:r>
      <w:r>
        <w:t xml:space="preserve">i se odgovorilo na zahtjevne ciljeve novoga strateškog okvira EU, početkom 2021. godine donesen je Nacionalni plan razvoja širokopojasnog pristupa u Republici Hrvatskoj u razdoblju od 2021. do 2027. godine (u daljnjem tekstu: Nacionalni plan).  Nacionalni </w:t>
      </w:r>
      <w:r>
        <w:t>plan je izrađen i u potpunosti usklađen s Nacionalnom razvojnom strategijom Republike Hrvatske do 2030. godine („Narodne novine“, br. 13/21), Razvojnim smjerom 3. Zelena i digitalna tranzicija, Strateški cilj 11. Digitalna tranzicija društva i gospodarstva</w:t>
      </w:r>
      <w:r>
        <w:t xml:space="preserve">, Strategijom digitalne Hrvatske za razdoblje do 2032. godine i  Nacionalnim planom oporavka i otpornosti 2021.-2026. </w:t>
      </w:r>
    </w:p>
    <w:p w:rsidR="00895DD6" w:rsidRDefault="00F31687">
      <w:r>
        <w:t>Nacionalnim planom, kao iskazom političke volje i opredjeljenja, definirana su četiri cilja, koja se u skladu sa Zakonom o sustavu strate</w:t>
      </w:r>
      <w:r>
        <w:t xml:space="preserve">škog planiranja i upravljanja razvojem Republike Hrvatske („Narodne novine“, br. 123/17 </w:t>
      </w:r>
      <w:r>
        <w:lastRenderedPageBreak/>
        <w:t>i 151/22) smatraju posebnim ciljevima kojima se pridonosi daljnjem ubrzanom razvoju elektroničkih komunikacijskih mreža i usluga u skladu sa zakonodavnim i regulatornim</w:t>
      </w:r>
      <w:r>
        <w:t xml:space="preserve"> okvirom u području elektroničkih komunikacija.  </w:t>
      </w:r>
    </w:p>
    <w:p w:rsidR="00895DD6" w:rsidRDefault="00F31687">
      <w:r>
        <w:t xml:space="preserve">Provedbom navedenih akata strateškog planiranja omogućit će se dostupnost širokopojasnog pristupa s brzinama većim od 100 Mbit/s svim kućanstvima, gospodarskim subjektima i javnim korisnicima te pokrivanje </w:t>
      </w:r>
      <w:r>
        <w:t>urbanih područja, glavnih kopnenih prometnih pravaca i ruralnih područja 5G mrežama čime će se ukloniti digitalni jaz u dostupnosti širokopojasnog pristupa. Jednolika dostupnost širokopojasnog pristupa u cijeloj Hrvatskoj povećat će primjenu IKT-a u gospod</w:t>
      </w:r>
      <w:r>
        <w:t xml:space="preserve">arstvu i omogućiti punu digitalizaciju sustava javne uprave, čime će Hrvatska ostvarivati brži gospodarski rast i smanjiti zaostajanje u razvijenosti u odnosu na napredne države EU-a. </w:t>
      </w:r>
    </w:p>
    <w:p w:rsidR="00895DD6" w:rsidRDefault="00F31687">
      <w:r>
        <w:t>Nastavak provedbe projekata u sklopu Okvirnog nacionalnog programa za r</w:t>
      </w:r>
      <w:r>
        <w:t>azvoj infrastrukture širokopojasnog pristupa u područjima u kojima ne postoji dostatan komercijalni interes za ulaganja planiran je u okviru Nacionalnog plana oporavka i otpornosti 2021.-2026., s ciljem smanjenja digitalnog jaza kroz povećanje nacionalne p</w:t>
      </w:r>
      <w:r>
        <w:t xml:space="preserve">okrivenosti mrežama vrlo velikog kapaciteta. Navedenom investicijom će se ruralnim područjima s demografskim, socijalnim i gospodarskim uvjetima koji su ispod nacionalnog prosjeka omogućiti dostupnost mreža vrlo velikog kapaciteta brzinama od najmanje 100 </w:t>
      </w:r>
      <w:r>
        <w:t xml:space="preserve">Mbit/s u smjeru prema korisniku (engl. download), glavnim društveno-ekonomskim pokretačima brzinama od najmanje 1 Gbit/s te posredno potaknuti investicije u postavljanje 5G mreža u ruralnim područjima. </w:t>
      </w:r>
    </w:p>
    <w:p w:rsidR="00895DD6" w:rsidRDefault="00F31687">
      <w:r>
        <w:t>Provedba Nacionalnog programa razvoja širokopojasne a</w:t>
      </w:r>
      <w:r>
        <w:t>gregacijske infrastrukture u područjima u kojima ne postoji dostatan komercijalni interes za ulaganja nastavit će se u okviru novog Partnerskog sporazuma i Programa Konkurentnost i kohezija 2021.-2027. s ciljem izgradnje širokopojasne agregacijske mreže vr</w:t>
      </w:r>
      <w:r>
        <w:t xml:space="preserve">lo velikog kapaciteta kao preduvjet razvoja pristupnih mreža vrlo velikog kapaciteta. </w:t>
      </w:r>
    </w:p>
    <w:p w:rsidR="00895DD6" w:rsidRDefault="00F31687">
      <w:r>
        <w:t>Unatoč pozitivnom godišnjem rastu (16,4 %), Hrvatska je ispod prosjeka EU-a (82,5 %) kad je riječ o postotku kućanstava s pristupom mrežama vrlo velikog kapaciteta (78,9</w:t>
      </w:r>
      <w:r>
        <w:t xml:space="preserve"> %). Stoga će se nastaviti s provedbom mjera i aktivnosti usmjerenih na potporu uvođenju mreža vrlo velikog kapaciteta kako bi se u potpunosti premostio jaz između ruralnih i urbanih područja, među ostalim i podupiranjem potražnje za gigabitnim uslugama.</w:t>
      </w:r>
    </w:p>
    <w:p w:rsidR="00895DD6" w:rsidRDefault="00F31687">
      <w:pPr>
        <w:pStyle w:val="Heading8"/>
        <w:jc w:val="left"/>
      </w:pPr>
      <w:r>
        <w:t>C</w:t>
      </w:r>
      <w:r>
        <w:t>ilj 2. Razvijeno tržište poštanskih usluga</w:t>
      </w:r>
    </w:p>
    <w:p w:rsidR="00895DD6" w:rsidRDefault="00F31687">
      <w:pPr>
        <w:pStyle w:val="Heading8"/>
        <w:jc w:val="left"/>
      </w:pPr>
      <w:r>
        <w:t>Opis provedbe cilja programa</w:t>
      </w:r>
    </w:p>
    <w:p w:rsidR="00895DD6" w:rsidRDefault="00F31687">
      <w:r>
        <w:t>Zakonom o poštanskim uslugama (NN br. 144/12., 153/13., 78/15. i 110/19.) osigurana je potpuna liberalizacija tržišta poštanskih usluga u Republici Hrvatskoj od 1. siječnja 2013. godin</w:t>
      </w:r>
      <w:r>
        <w:t>e, a HP – Hrvatska pošta d.d. tim je Zakonom stekla pravo i obvezu obavljanja univerzalne (poštanske) usluge u trajanju od 15 godina (od dana stupanja na snagu Zakona). Hrvatska regulatorna agencija za mrežne djelatnosti (HAKOM) obvezna je svakih pet godin</w:t>
      </w:r>
      <w:r>
        <w:t xml:space="preserve">a provesti analizu stanja na tržištu poštanskih usluga radi utvrđivanja postoje li davatelji poštanskih usluga koji mogu osigurati obavljanje univerzalne usluge, te ako utvrdi njihovo postojanje, provesti postupak javnog natječaja.  </w:t>
      </w:r>
    </w:p>
    <w:p w:rsidR="00895DD6" w:rsidRDefault="00F31687">
      <w:r>
        <w:t>Osiguranje visoke razi</w:t>
      </w:r>
      <w:r>
        <w:t>ne pružanja univerzalne usluge po pristupačnoj cijeni svim korisnicima poštanskih usluga na cijelom području države te uspostava usklađenih načela regulacije u uvjetima liberaliziranog tržišta pridonijet će tržišnom natjecanju u području poštanskih usluga.</w:t>
      </w:r>
      <w:r>
        <w:t xml:space="preserve"> Time se stvaraju preduvjeti za daljnji razvoj konkurentnog i dinamičnog tržišta poštanskih usluga, što će potaknuti otvaranje novoga investicijskog ciklusa, osobito u nove i inovativne usluge na poštanskom tržištu, kakve poznaju i razvijena tržišta država</w:t>
      </w:r>
      <w:r>
        <w:t xml:space="preserve"> članica EU.</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0"/>
        <w:gridCol w:w="2551"/>
        <w:gridCol w:w="1020"/>
        <w:gridCol w:w="1020"/>
        <w:gridCol w:w="1025"/>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Udjel kućanstava u Republici Hrvatskoj kojima je dostupan širokopojasni pristup s brzinom u smjeru korisnika od najmanje 100 Mbit/s, uz mogućnost nadogradnje na brzine do 1 Gbit/s</w:t>
            </w:r>
          </w:p>
        </w:tc>
        <w:tc>
          <w:tcPr>
            <w:tcW w:w="2551" w:type="dxa"/>
          </w:tcPr>
          <w:p w:rsidR="00895DD6" w:rsidRDefault="00F31687">
            <w:pPr>
              <w:pStyle w:val="CellColumn"/>
              <w:jc w:val="left"/>
            </w:pPr>
            <w:r>
              <w:rPr>
                <w:rFonts w:cs="Times New Roman"/>
              </w:rPr>
              <w:t>Povećanje dostupnosti širokopojasne infrastrukture putem uvođenja mreža vrlo</w:t>
            </w:r>
            <w:r>
              <w:rPr>
                <w:rFonts w:cs="Times New Roman"/>
              </w:rPr>
              <w:t xml:space="preserve"> velikog kapaciteta u kućanstva na cijelom području Republike Hrvatske</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61</w:t>
            </w:r>
          </w:p>
        </w:tc>
        <w:tc>
          <w:tcPr>
            <w:tcW w:w="1020" w:type="dxa"/>
          </w:tcPr>
          <w:p w:rsidR="00895DD6" w:rsidRDefault="00F31687">
            <w:pPr>
              <w:pStyle w:val="CellColumn"/>
              <w:jc w:val="right"/>
            </w:pPr>
            <w:r>
              <w:rPr>
                <w:rFonts w:cs="Times New Roman"/>
              </w:rPr>
              <w:t>Europska komisija – Izvješće o stanju digitalnog desetljeća</w:t>
            </w:r>
          </w:p>
        </w:tc>
        <w:tc>
          <w:tcPr>
            <w:tcW w:w="1020" w:type="dxa"/>
          </w:tcPr>
          <w:p w:rsidR="00895DD6" w:rsidRDefault="00F31687">
            <w:pPr>
              <w:pStyle w:val="CellColumn"/>
              <w:jc w:val="right"/>
            </w:pPr>
            <w:r>
              <w:rPr>
                <w:rFonts w:cs="Times New Roman"/>
              </w:rPr>
              <w:t>70</w:t>
            </w:r>
          </w:p>
        </w:tc>
        <w:tc>
          <w:tcPr>
            <w:tcW w:w="1020" w:type="dxa"/>
          </w:tcPr>
          <w:p w:rsidR="00895DD6" w:rsidRDefault="00F31687">
            <w:pPr>
              <w:pStyle w:val="CellColumn"/>
              <w:jc w:val="right"/>
            </w:pPr>
            <w:r>
              <w:rPr>
                <w:rFonts w:cs="Times New Roman"/>
              </w:rPr>
              <w:t>78,9</w:t>
            </w:r>
          </w:p>
        </w:tc>
      </w:tr>
      <w:tr w:rsidR="00895DD6">
        <w:trPr>
          <w:jc w:val="center"/>
        </w:trPr>
        <w:tc>
          <w:tcPr>
            <w:tcW w:w="2551" w:type="dxa"/>
          </w:tcPr>
          <w:p w:rsidR="00895DD6" w:rsidRDefault="00F31687">
            <w:pPr>
              <w:pStyle w:val="CellColumn"/>
              <w:jc w:val="left"/>
            </w:pPr>
            <w:r>
              <w:rPr>
                <w:rFonts w:cs="Times New Roman"/>
              </w:rPr>
              <w:lastRenderedPageBreak/>
              <w:t>Broj redovitih poštanskih ureda u mreži poštanskih ureda davatelja univerzalne usluge</w:t>
            </w:r>
          </w:p>
        </w:tc>
        <w:tc>
          <w:tcPr>
            <w:tcW w:w="2551" w:type="dxa"/>
          </w:tcPr>
          <w:p w:rsidR="00895DD6" w:rsidRDefault="00F31687">
            <w:pPr>
              <w:pStyle w:val="CellColumn"/>
              <w:jc w:val="left"/>
            </w:pPr>
            <w:r>
              <w:rPr>
                <w:rFonts w:cs="Times New Roman"/>
              </w:rPr>
              <w:t>Davatelj univerzalne usluge obvezan je ustrojiti mrežu poštanskih ureda tako da mrežu poštanskih ureda mora činiti najmanje 700 redovitih poštanskih ureda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 700</w:t>
            </w:r>
          </w:p>
        </w:tc>
        <w:tc>
          <w:tcPr>
            <w:tcW w:w="1020" w:type="dxa"/>
          </w:tcPr>
          <w:p w:rsidR="00895DD6" w:rsidRDefault="00F31687">
            <w:pPr>
              <w:pStyle w:val="CellColumn"/>
              <w:jc w:val="right"/>
            </w:pPr>
            <w:r>
              <w:rPr>
                <w:rFonts w:cs="Times New Roman"/>
              </w:rPr>
              <w:t>Hrvatska regulatorna agencija za mrežne djelatnosti</w:t>
            </w:r>
          </w:p>
        </w:tc>
        <w:tc>
          <w:tcPr>
            <w:tcW w:w="1020" w:type="dxa"/>
          </w:tcPr>
          <w:p w:rsidR="00895DD6" w:rsidRDefault="00F31687">
            <w:pPr>
              <w:pStyle w:val="CellColumn"/>
              <w:jc w:val="right"/>
            </w:pPr>
            <w:r>
              <w:rPr>
                <w:rFonts w:cs="Times New Roman"/>
              </w:rPr>
              <w:t>≥ 700</w:t>
            </w:r>
          </w:p>
        </w:tc>
        <w:tc>
          <w:tcPr>
            <w:tcW w:w="1020" w:type="dxa"/>
          </w:tcPr>
          <w:p w:rsidR="00895DD6" w:rsidRDefault="00F31687">
            <w:pPr>
              <w:pStyle w:val="CellColumn"/>
              <w:jc w:val="right"/>
            </w:pPr>
            <w:r>
              <w:rPr>
                <w:rFonts w:cs="Times New Roman"/>
              </w:rPr>
              <w:t>&gt;700</w:t>
            </w:r>
          </w:p>
        </w:tc>
      </w:tr>
    </w:tbl>
    <w:p w:rsidR="00895DD6" w:rsidRDefault="00895DD6">
      <w:pPr>
        <w:jc w:val="left"/>
      </w:pPr>
    </w:p>
    <w:p w:rsidR="00895DD6" w:rsidRDefault="00F31687">
      <w:pPr>
        <w:pStyle w:val="Heading4"/>
      </w:pPr>
      <w:r>
        <w:t>A570340 RAZVOJ ELEKTRONIČ</w:t>
      </w:r>
      <w:r>
        <w:t>KIH KOMUNIKACIJA, INFORMACIJSKOG DRUŠTVA I POŠTANSKIH USLUGA</w:t>
      </w:r>
    </w:p>
    <w:tbl>
      <w:tblPr>
        <w:tblStyle w:val="StilTablice"/>
        <w:tblW w:w="10206" w:type="dxa"/>
        <w:jc w:val="center"/>
        <w:tblLook w:val="04A0" w:firstRow="1" w:lastRow="0" w:firstColumn="1" w:lastColumn="0" w:noHBand="0" w:noVBand="1"/>
      </w:tblPr>
      <w:tblGrid>
        <w:gridCol w:w="1859"/>
        <w:gridCol w:w="1975"/>
        <w:gridCol w:w="1971"/>
        <w:gridCol w:w="1975"/>
        <w:gridCol w:w="1210"/>
        <w:gridCol w:w="1216"/>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A570340-RAZVOJ ELEKTRONIČKIH KOMUNIKACIJA, INFORMACIJSKOG DRUŠTVA I POŠTANSKIH USLUGA</w:t>
            </w:r>
          </w:p>
        </w:tc>
        <w:tc>
          <w:tcPr>
            <w:tcW w:w="2041" w:type="dxa"/>
          </w:tcPr>
          <w:p w:rsidR="00895DD6" w:rsidRDefault="00F31687">
            <w:pPr>
              <w:pStyle w:val="CellColumn"/>
              <w:jc w:val="right"/>
            </w:pPr>
            <w:r>
              <w:rPr>
                <w:rFonts w:cs="Times New Roman"/>
              </w:rPr>
              <w:t>181.263</w:t>
            </w:r>
          </w:p>
        </w:tc>
        <w:tc>
          <w:tcPr>
            <w:tcW w:w="2041" w:type="dxa"/>
          </w:tcPr>
          <w:p w:rsidR="00895DD6" w:rsidRDefault="00F31687">
            <w:pPr>
              <w:pStyle w:val="CellColumn"/>
              <w:jc w:val="right"/>
            </w:pPr>
            <w:r>
              <w:rPr>
                <w:rFonts w:cs="Times New Roman"/>
              </w:rPr>
              <w:t>204.300</w:t>
            </w:r>
          </w:p>
        </w:tc>
        <w:tc>
          <w:tcPr>
            <w:tcW w:w="2041" w:type="dxa"/>
          </w:tcPr>
          <w:p w:rsidR="00895DD6" w:rsidRDefault="00F31687">
            <w:pPr>
              <w:pStyle w:val="CellColumn"/>
              <w:jc w:val="right"/>
            </w:pPr>
            <w:r>
              <w:rPr>
                <w:rFonts w:cs="Times New Roman"/>
              </w:rPr>
              <w:t>202.277</w:t>
            </w:r>
          </w:p>
        </w:tc>
        <w:tc>
          <w:tcPr>
            <w:tcW w:w="1224" w:type="dxa"/>
          </w:tcPr>
          <w:p w:rsidR="00895DD6" w:rsidRDefault="00F31687">
            <w:pPr>
              <w:pStyle w:val="CellColumn"/>
              <w:jc w:val="right"/>
            </w:pPr>
            <w:r>
              <w:rPr>
                <w:rFonts w:cs="Times New Roman"/>
              </w:rPr>
              <w:t>99,0</w:t>
            </w:r>
          </w:p>
        </w:tc>
        <w:tc>
          <w:tcPr>
            <w:tcW w:w="1224" w:type="dxa"/>
          </w:tcPr>
          <w:p w:rsidR="00895DD6" w:rsidRDefault="00F31687">
            <w:pPr>
              <w:pStyle w:val="CellColumn"/>
              <w:jc w:val="right"/>
            </w:pPr>
            <w:r>
              <w:rPr>
                <w:rFonts w:cs="Times New Roman"/>
              </w:rPr>
              <w:t>111,6</w:t>
            </w:r>
          </w:p>
        </w:tc>
      </w:tr>
    </w:tbl>
    <w:p w:rsidR="00895DD6" w:rsidRDefault="00895DD6">
      <w:pPr>
        <w:jc w:val="left"/>
      </w:pPr>
    </w:p>
    <w:p w:rsidR="00895DD6" w:rsidRDefault="00F31687">
      <w:pPr>
        <w:pStyle w:val="Heading8"/>
        <w:jc w:val="left"/>
      </w:pPr>
      <w:r>
        <w:t>Zakonske i druge pravne osnove</w:t>
      </w:r>
    </w:p>
    <w:p w:rsidR="00895DD6" w:rsidRDefault="00F31687">
      <w:r>
        <w:t>- Uredba o potvrđivanju (ratifikaciji) Statuta i Konvencije Međunarodne udruge za telekomunikacije pot</w:t>
      </w:r>
      <w:r>
        <w:t xml:space="preserve">pisanih u Ženevi, 22. prosinca 1992. godine, članak 28. Statuta, članak 33. Konvencije </w:t>
      </w:r>
    </w:p>
    <w:p w:rsidR="00895DD6" w:rsidRDefault="00F31687">
      <w:r>
        <w:t xml:space="preserve">- Zakon o potvrđivanju Instrumenta kojim se mijenja i dopunjuje Konvencija o uspostavljanju Europskog ureda za radiokomunikacije (ERO), članak 12. Konvencije </w:t>
      </w:r>
    </w:p>
    <w:p w:rsidR="00895DD6" w:rsidRDefault="00F31687">
      <w:r>
        <w:t xml:space="preserve">- Zakon o elektroničkim komunikacijama, članak 6. stavak 3. </w:t>
      </w:r>
    </w:p>
    <w:p w:rsidR="00895DD6" w:rsidRDefault="00F31687">
      <w:r>
        <w:t xml:space="preserve">- Zakon o potvrđivanju Općih pravila Svjetske poštanske unije, članak 150., stavci 1., 2. i 3. i članak 151. </w:t>
      </w:r>
    </w:p>
    <w:p w:rsidR="00895DD6" w:rsidRDefault="00F31687">
      <w:r>
        <w:t>- Zakon o potvrđivanju Prvog dodatnog protokola uz Opća pravila Svjetske poštanske un</w:t>
      </w:r>
      <w:r>
        <w:t>ije, članak XIII.</w:t>
      </w:r>
    </w:p>
    <w:p w:rsidR="00895DD6" w:rsidRDefault="00F31687">
      <w:pPr>
        <w:pStyle w:val="Heading8"/>
        <w:jc w:val="left"/>
      </w:pPr>
      <w:r>
        <w:t>Opis aktivnosti</w:t>
      </w:r>
    </w:p>
    <w:p w:rsidR="00895DD6" w:rsidRDefault="00F31687">
      <w:r>
        <w:t>Proračunska sredstva s ove aktivnosti u 2025. godini utrošena su za plaćanje obveza za članarine i norme (i drugih propisanih godišnjih doprinosa) u europskim i međunarodnim organizacijama i institucijama iz područja elekt</w:t>
      </w:r>
      <w:r>
        <w:t>roničkih komunikacija, informacijskog društva, radijske opreme i elektromagnetske kompatibilnosti (Međunarodna telekomunikacijska unija – ITU i druga specijalizirana UN-ova tijela, Europska konferencija poštanskih i telekomunikacijskih uprava – CEPT, Odbor</w:t>
      </w:r>
      <w:r>
        <w:t xml:space="preserve"> za elektroničke komunikacije – ECC, Europski institut za telekomunikacijske norme – ETSI, međunarodne organizacije za satelitske radijske komunikacije i dr.), te za članarine (i druge propisane godišnje doprinose) u europskim i međunarodnim poštanskim org</w:t>
      </w:r>
      <w:r>
        <w:t>anizacijama i institucijama (Svjetska poštanska unija – UPU, Europska konferencija poštanskih i telekomunikacijskih uprava – CEPT, Europski odbor za poštansku regulaciju – CERP i dr.), kojih je Republika Hrvatska punopravni član, u iznosu od 192.977 EUR. S</w:t>
      </w:r>
      <w:r>
        <w:t>redstva s ove aktivnosti utrošena su za suorganizaciju i pokroviteljstvo 48. međunarodnog znanstveno-stručnog i tehnološkog skupa "MIPRO 2025.", koji je najveći nekomercijalni skup u Republici Hrvatskoj u području informacijskih i komunikacijskih tehnologi</w:t>
      </w:r>
      <w:r>
        <w:t>ja, elektronike i mikroelektronike, te za suorganizaciju i pokroviteljstvo jubilarnog 67. međunarodnog simpozija "Elektronika u pomorstvu – ELMAR 2025.", znanstvene konferencije u području multimedijskih komunikacija, obrade slike i video signala, navigaci</w:t>
      </w:r>
      <w:r>
        <w:t xml:space="preserve">jskih sustava, obrade govora i zvuka, telekomunikacija, radijskih komunikacija te elektronike u pomorstvu, u ukupnom iznosu od 9.300 EUR. </w:t>
      </w:r>
    </w:p>
    <w:p w:rsidR="00895DD6" w:rsidRDefault="00F31687">
      <w:r>
        <w:t>Planirani ciljevi ove aktivnosti u 2025. godini su postignuti, aktivnost se provodila planiranom dinamikom i nije bil</w:t>
      </w:r>
      <w:r>
        <w:t>o nikakvih teškoća u njezinu izvršavanju.</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Plaćene obveze za članarine i norme (i druge propisane godišnje doprinose) u europskim i međunarodnim organizacijama i institucijama</w:t>
            </w:r>
          </w:p>
        </w:tc>
        <w:tc>
          <w:tcPr>
            <w:tcW w:w="2551" w:type="dxa"/>
          </w:tcPr>
          <w:p w:rsidR="00895DD6" w:rsidRDefault="00F31687">
            <w:pPr>
              <w:pStyle w:val="CellColumn"/>
              <w:jc w:val="left"/>
            </w:pPr>
            <w:r>
              <w:rPr>
                <w:rFonts w:cs="Times New Roman"/>
              </w:rPr>
              <w:t>Za članstvo u europskim i međunarodnim organizacijama nadležnima za elektroničke komunikacije i poštanske usluge RH plaća p</w:t>
            </w:r>
            <w:r>
              <w:rPr>
                <w:rFonts w:cs="Times New Roman"/>
              </w:rPr>
              <w:t>ropisane iznose obveza za članarine i norme (i druge propisane godišnje doprinose)</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A754032 NAKNADA KOJA SE DODJELJUJE PODUZETNICIMA KOJIMA JE POVJERENO OBAVLJANJE UNIVERZALNE POŠTANSKE USLUGE</w:t>
      </w:r>
    </w:p>
    <w:tbl>
      <w:tblPr>
        <w:tblStyle w:val="StilTablice"/>
        <w:tblW w:w="10206" w:type="dxa"/>
        <w:jc w:val="center"/>
        <w:tblLook w:val="04A0" w:firstRow="1" w:lastRow="0" w:firstColumn="1" w:lastColumn="0" w:noHBand="0" w:noVBand="1"/>
      </w:tblPr>
      <w:tblGrid>
        <w:gridCol w:w="1759"/>
        <w:gridCol w:w="2004"/>
        <w:gridCol w:w="2004"/>
        <w:gridCol w:w="2005"/>
        <w:gridCol w:w="1215"/>
        <w:gridCol w:w="1219"/>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w:t>
            </w:r>
            <w:r>
              <w:rPr>
                <w:rFonts w:cs="Times New Roman"/>
              </w:rPr>
              <w:t xml:space="preserve">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A754032-NAKNADA KOJA SE DODJELJUJE PODUZETNICIMA KOJIMA JE POVJERENO OBAVLJANJE UNIVERZALNE POŠTANSKE USLUGE</w:t>
            </w:r>
          </w:p>
        </w:tc>
        <w:tc>
          <w:tcPr>
            <w:tcW w:w="2041" w:type="dxa"/>
          </w:tcPr>
          <w:p w:rsidR="00895DD6" w:rsidRDefault="00F31687">
            <w:pPr>
              <w:pStyle w:val="CellColumn"/>
              <w:jc w:val="right"/>
            </w:pPr>
            <w:r>
              <w:rPr>
                <w:rFonts w:cs="Times New Roman"/>
              </w:rPr>
              <w:t>25.109.179</w:t>
            </w:r>
          </w:p>
        </w:tc>
        <w:tc>
          <w:tcPr>
            <w:tcW w:w="2041" w:type="dxa"/>
          </w:tcPr>
          <w:p w:rsidR="00895DD6" w:rsidRDefault="00F31687">
            <w:pPr>
              <w:pStyle w:val="CellColumn"/>
              <w:jc w:val="right"/>
            </w:pPr>
            <w:r>
              <w:rPr>
                <w:rFonts w:cs="Times New Roman"/>
              </w:rPr>
              <w:t>15.457.312</w:t>
            </w:r>
          </w:p>
        </w:tc>
        <w:tc>
          <w:tcPr>
            <w:tcW w:w="2041" w:type="dxa"/>
          </w:tcPr>
          <w:p w:rsidR="00895DD6" w:rsidRDefault="00F31687">
            <w:pPr>
              <w:pStyle w:val="CellColumn"/>
              <w:jc w:val="right"/>
            </w:pPr>
            <w:r>
              <w:rPr>
                <w:rFonts w:cs="Times New Roman"/>
              </w:rPr>
              <w:t>15.457.312</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61,6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poštanskim uslugama, članak 67. stavak 2., članak 48. stavak 5.  </w:t>
      </w:r>
    </w:p>
    <w:p w:rsidR="00895DD6" w:rsidRDefault="00F31687">
      <w:r>
        <w:t xml:space="preserve">- Pravilnik o obavljanju univerzalne usluge (Hrvatska regulatorna agencija za mrežne djelatnosti)   </w:t>
      </w:r>
    </w:p>
    <w:p w:rsidR="00895DD6" w:rsidRDefault="00F31687">
      <w:r>
        <w:t xml:space="preserve">- Naputak o izračunu i naknadi neto troška univerzalne usluge i procjene nepravednog financijskog opterećenja od 31. kolovoza 2015. (Hrvatska regulatorna agencija za mrežne djelatnosti)   </w:t>
      </w:r>
    </w:p>
    <w:p w:rsidR="00895DD6" w:rsidRDefault="00F31687">
      <w:r>
        <w:t>- Odluka Vijeća Hrvatske regulatorne agencije za mrežne djelatnosti</w:t>
      </w:r>
      <w:r>
        <w:t xml:space="preserve">   </w:t>
      </w:r>
    </w:p>
    <w:p w:rsidR="00895DD6" w:rsidRDefault="00F31687">
      <w:r>
        <w:t xml:space="preserve">- Zakon o državnim potporama   </w:t>
      </w:r>
    </w:p>
    <w:p w:rsidR="00895DD6" w:rsidRDefault="00F31687">
      <w:r>
        <w:t>- Odluka o donošenju Smjernica politike državnih potpora</w:t>
      </w:r>
    </w:p>
    <w:p w:rsidR="00895DD6" w:rsidRDefault="00F31687">
      <w:pPr>
        <w:pStyle w:val="Heading8"/>
        <w:jc w:val="left"/>
      </w:pPr>
      <w:r>
        <w:t>Opis aktivnosti</w:t>
      </w:r>
    </w:p>
    <w:p w:rsidR="00895DD6" w:rsidRDefault="00F31687">
      <w:r>
        <w:t>Sredstva utrošena u okviru ove aktivnosti predstavljaju naknadu koja se dodjeljuje poduzetnicima kojima je povjereno obavljanje univerzalne poštanske usluge u ukupnom iznosu od 15.457.311,63 EUR. Cilj ove aktivnosti je obavljanje usluge od općeg gospodarsk</w:t>
      </w:r>
      <w:r>
        <w:t xml:space="preserve">og interesa (Services of General Economic Interest – SGEI), odnosno univerzalne usluge za sve korisnike poštanskih usluga, pod jednakim uvjetima, na cijelom području Republike Hrvatske. </w:t>
      </w:r>
    </w:p>
    <w:p w:rsidR="00895DD6" w:rsidRDefault="00F31687">
      <w:r>
        <w:t>Zakonom o poštanskim uslugama propisano je obavljanje univerzalne (po</w:t>
      </w:r>
      <w:r>
        <w:t>štanske) usluge kao usluge od interesa za Republiku Hrvatsku, pa se u skladu s tim univerzalna usluga smatra uslugom od općeg gospodarskog interesa. Odredbom članka 67., stavka 2. tog Zakona, HP-Hrvatska pošta d.d. stekla je pravo i obvezu obavljanja unive</w:t>
      </w:r>
      <w:r>
        <w:t xml:space="preserve">rzalne usluge u trajanju od 15 godina (od dana stupanja na snagu Zakona), a Hrvatska regulatorna agencija za mrežne djelatnosti (HAKOM) obvezna je svakih pet godina provesti analizu stanja na tržištu poštanskih usluga radi </w:t>
      </w:r>
      <w:r>
        <w:lastRenderedPageBreak/>
        <w:t xml:space="preserve">utvrđivanja postoje li davatelji </w:t>
      </w:r>
      <w:r>
        <w:t xml:space="preserve">poštanskih usluga koji mogu osigurati obavljanje univerzalne usluge. Ukoliko HAKOM utvrdi njihovo postojanje, dužna je provesti postupak javnog natječaja. </w:t>
      </w:r>
    </w:p>
    <w:p w:rsidR="00895DD6" w:rsidRDefault="00F31687">
      <w:r>
        <w:t>Zakonom o poštanskim uslugama propisan je i postupak naknade nepravednog financijskog opterećenja, a</w:t>
      </w:r>
      <w:r>
        <w:t>ko obveza pružanja univerzalne usluge za davatelja te usluge stvara neto trošak. HAKOM svojom odlukom utvrđuje iznos neto troška koji predstavlja nepravedno financijsko opterećenje davatelja univerzalne usluge, a koji se, na temelju članka 48., stavka 5. n</w:t>
      </w:r>
      <w:r>
        <w:t xml:space="preserve">avedenog Zakona, isplaćuje iz sredstava državnog proračuna RH, u skladu s pravilima o državnim potporama.  </w:t>
      </w:r>
    </w:p>
    <w:p w:rsidR="00895DD6" w:rsidRDefault="00F31687">
      <w:r>
        <w:t>Ministarstvo mora, prometa i infrastrukture je davatelj državne potpore prema Pojedinačnoj državnoj potpori HP-Hrvatskoj pošti d.d. u obliku naknade</w:t>
      </w:r>
      <w:r>
        <w:t xml:space="preserve"> za obavljanje univerzalne usluge za razdoblje od 2024. do 2027. godine, na koji je Ministarstvo financija dalo suglasnost. Vijeće HAKOM-a donijelo je odluku, KLASA: UP/I-344-02/25-06/01, URBROJ: 376-04-25-03, 30. listopada 2025. godine, kojom je utvrđeno </w:t>
      </w:r>
      <w:r>
        <w:t>da iznos od 14.924.499,00 EUR  predstavlja nepravedno financijsko opterećenje za davatelja univerzalne usluge, HP-Hrvatsku poštu d.d. u 2024. godini, te je na temelju te odluke i u skladu s Pojedinačnom državnom potporom od 2024. do 2027. godine isplaćen p</w:t>
      </w:r>
      <w:r>
        <w:t xml:space="preserve">reostali iznos davatelju univerzalne usluge. S obzirom da je tijekom 2024. godine isplaćeno ukupno 10.154.687,37 EUR za prva tri kvartala 2024. godine, preostali iznos koji je isplaćen bio je 4.769.811,63 EUR. </w:t>
      </w:r>
    </w:p>
    <w:p w:rsidR="00895DD6" w:rsidRDefault="00F31687">
      <w:r>
        <w:t>Također, na temelju Odluke ministra o isplati</w:t>
      </w:r>
      <w:r>
        <w:t xml:space="preserve"> proračunskih sredstava za naknadu koja se dodjeljuje poduzetnicima kojima je povjereno obavljanje univerzalne poštanske usluge, KLASA: 402-01/23-03/244, URBROJ: 530-07-2-2-2-25-20, od 2. travnja 2025. godine, potpisan je, između MMPI i HP-Hrvatske pošte d</w:t>
      </w:r>
      <w:r>
        <w:t>.d., UGOVOR broj: PN 01/SEKP/2025., KLASA: 402-01/23-03/244, URBROJ: 530-07-2-2-2-25-22, od 14. travnja 2025. godine, te je na temelju toga i u skladu s Pojedinačnom državnom potporom od 2024. do 2027. godine isplaćeno ukupno 10.687.500 EUR za prva tri kva</w:t>
      </w:r>
      <w:r>
        <w:t xml:space="preserve">rtala 2025. godine. </w:t>
      </w:r>
    </w:p>
    <w:p w:rsidR="00895DD6" w:rsidRDefault="00F31687">
      <w:r>
        <w:t>Planirani cilj ove aktivnosti u 2025. godini je izvršen.</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0"/>
        <w:gridCol w:w="2551"/>
        <w:gridCol w:w="1020"/>
        <w:gridCol w:w="1020"/>
        <w:gridCol w:w="1025"/>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isplaćene naknade koja se dodjeljuje poduzetnicima kojima je povjereno obavljanje univerzalne poštanske usluge slijedom odluke Hrvatske regulatorne agencije za mrežne djelatnosti</w:t>
            </w:r>
          </w:p>
        </w:tc>
        <w:tc>
          <w:tcPr>
            <w:tcW w:w="2551" w:type="dxa"/>
          </w:tcPr>
          <w:p w:rsidR="00895DD6" w:rsidRDefault="00F31687">
            <w:pPr>
              <w:pStyle w:val="CellColumn"/>
              <w:jc w:val="left"/>
            </w:pPr>
            <w:r>
              <w:rPr>
                <w:rFonts w:cs="Times New Roman"/>
              </w:rPr>
              <w:t>Hrvatska regulatorna agencija za mrežne djelatnosti odlukom utvrđuje</w:t>
            </w:r>
            <w:r>
              <w:rPr>
                <w:rFonts w:cs="Times New Roman"/>
              </w:rPr>
              <w:t xml:space="preserve"> iznos neto troška koji predstavlja nepravedno financijsko opterećenje davatelja univerzalne usluge, a koji se isplaćuje iz sredstava državnog proračuna RH, u skladu s pravilima o državnim potporama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Hrvatska regulatorna agencija za mrežne djelatnosti</w:t>
            </w:r>
            <w:r>
              <w:rPr>
                <w:rFonts w:cs="Times New Roman"/>
              </w:rPr>
              <w:t>,   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A820032 POTICANJE RAZVOJA ŠIROKOPOJASNOG PRISTUPA INTERNETU</w:t>
      </w:r>
    </w:p>
    <w:tbl>
      <w:tblPr>
        <w:tblStyle w:val="StilTablice"/>
        <w:tblW w:w="10206" w:type="dxa"/>
        <w:jc w:val="center"/>
        <w:tblLook w:val="04A0" w:firstRow="1" w:lastRow="0" w:firstColumn="1" w:lastColumn="0" w:noHBand="0" w:noVBand="1"/>
      </w:tblPr>
      <w:tblGrid>
        <w:gridCol w:w="1881"/>
        <w:gridCol w:w="1970"/>
        <w:gridCol w:w="1960"/>
        <w:gridCol w:w="1971"/>
        <w:gridCol w:w="1209"/>
        <w:gridCol w:w="1215"/>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A820032-POTICANJE RAZVOJA ŠIROKOPOJASNOG PRISTUPA INTERNETU</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11.564</w:t>
            </w:r>
          </w:p>
        </w:tc>
        <w:tc>
          <w:tcPr>
            <w:tcW w:w="2041" w:type="dxa"/>
          </w:tcPr>
          <w:p w:rsidR="00895DD6" w:rsidRDefault="00F31687">
            <w:pPr>
              <w:pStyle w:val="CellColumn"/>
              <w:jc w:val="right"/>
            </w:pPr>
            <w:r>
              <w:rPr>
                <w:rFonts w:cs="Times New Roman"/>
              </w:rPr>
              <w:t>11.125</w:t>
            </w:r>
          </w:p>
        </w:tc>
        <w:tc>
          <w:tcPr>
            <w:tcW w:w="1224" w:type="dxa"/>
          </w:tcPr>
          <w:p w:rsidR="00895DD6" w:rsidRDefault="00F31687">
            <w:pPr>
              <w:pStyle w:val="CellColumn"/>
              <w:jc w:val="right"/>
            </w:pPr>
            <w:r>
              <w:rPr>
                <w:rFonts w:cs="Times New Roman"/>
              </w:rPr>
              <w:t>96,2</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elektroničkim komunikacijama, članci 59. i 60. </w:t>
      </w:r>
    </w:p>
    <w:p w:rsidR="00895DD6" w:rsidRDefault="00F31687">
      <w:r>
        <w:lastRenderedPageBreak/>
        <w:t xml:space="preserve">- Zakon o mjerama za smanjenje troškova postavljanja elektroničkih komunikacijskih mreža velikih brzina </w:t>
      </w:r>
    </w:p>
    <w:p w:rsidR="00895DD6" w:rsidRDefault="00F31687">
      <w:r>
        <w:t xml:space="preserve">- Nacionalni plan razvoja širokopojasnog pristupa u Republici Hrvatskoj u razdoblju od 2021. do 2027. godine </w:t>
      </w:r>
    </w:p>
    <w:p w:rsidR="00895DD6" w:rsidRDefault="00F31687">
      <w:r>
        <w:t>- Okvirni nacionalni program za razvoj in</w:t>
      </w:r>
      <w:r>
        <w:t xml:space="preserve">frastrukture širokopojasnog pristupa u područjima u kojima ne postoji dostatan komercijalni interes za ulaganja </w:t>
      </w:r>
    </w:p>
    <w:p w:rsidR="00895DD6" w:rsidRDefault="00F31687">
      <w:r>
        <w:t>- Nacionalni program razvoja širokopojasne agregacijske infrastrukture u područjima u kojima ne postoji dostatan komercijalni interes za ulagan</w:t>
      </w:r>
      <w:r>
        <w:t>ja, kao preduvjet razvoja pristupnih mreža sljedeće generacije (NGA).</w:t>
      </w:r>
    </w:p>
    <w:p w:rsidR="00895DD6" w:rsidRDefault="00F31687">
      <w:pPr>
        <w:pStyle w:val="Heading8"/>
        <w:jc w:val="left"/>
      </w:pPr>
      <w:r>
        <w:t>Opis aktivnosti</w:t>
      </w:r>
    </w:p>
    <w:p w:rsidR="00895DD6" w:rsidRDefault="00F31687">
      <w:r>
        <w:t xml:space="preserve">Proračunska sredstva s ove aktivnosti u 2025. godini utrošena su za plaćanje postupka vrednovanja Nacionalnog plana razvoja širokopojasnog pristupa u Republici Hrvatskoj </w:t>
      </w:r>
      <w:r>
        <w:t xml:space="preserve">u razdoblju od 2021. do 2027. godine, u ukupnom iznosu od 11.125,00 EUR. </w:t>
      </w:r>
    </w:p>
    <w:p w:rsidR="00895DD6" w:rsidRDefault="00F31687">
      <w:r>
        <w:t>U skladu s Nacionalnom razvojnom strategijom Republike Hrvatske do 2030. godine (NN 13/21.) i razvojnim smjerom 3. Zelena i digitalna tranzicija, strateški cilj 11. Digitalna tranzic</w:t>
      </w:r>
      <w:r>
        <w:t>ija društva i gospodarstva, kao prioritet provedbe politike na području razvoja širokopojasnih elektroničkih komunikacijskih mreža planiran je razvoj i izgradnja širokopojasne infrastrukture i elektroničkih komunikacijskih mreža vrlo velikog kapaciteta koj</w:t>
      </w:r>
      <w:r>
        <w:t xml:space="preserve">e omogućuju gigabitnu povezivost.   </w:t>
      </w:r>
    </w:p>
    <w:p w:rsidR="00895DD6" w:rsidRDefault="00F31687">
      <w:r>
        <w:t>Vlada RH je 11. ožujka 2021. godine donijela Nacionalni plan razvoja širokopojasnog pristupa u Republici Hrvatskoj u razdoblju od 2021. do 2027. godine (NN 26/21.), kao srednjoročni akt strateškog planiranja kojim se po</w:t>
      </w:r>
      <w:r>
        <w:t xml:space="preserve">dupire provedba strateškog okvira NRS 2030. i Strategije digitalne Hrvatske za razdoblje do 2032. godine (NN 2/23.).  </w:t>
      </w:r>
    </w:p>
    <w:p w:rsidR="00895DD6" w:rsidRDefault="00F31687">
      <w:r>
        <w:t>Nacionalni plan predstavlja kontinuitet politike Vlade Republike Hrvatske u strateškom planiranju razvoja širokopojasnog pristupa u Repub</w:t>
      </w:r>
      <w:r>
        <w:t>lici Hrvatskoj, s ciljem daljnjeg razvoja pozitivnih stečevina razvoja širokopojasnog pristupa zacrtanih strategijama razvoja širokopojasnog pristupa za razdoblja 2006.-2008., 2009.-2012., 2012.-2015. i  2016.-2020. Provedbom Nacionalnog plana do 2027. god</w:t>
      </w:r>
      <w:r>
        <w:t>ine omogućit će se dostupnost širokopojasnog pristupa s brzinama većim od 100 Mbit/s svim kućanstvima, gospodarskim subjektima i javnim korisnicima te pokrivanje urbanih područja, glavnih kopnenih prometnih pravaca i ruralnih područja 5G mrežama, čime će s</w:t>
      </w:r>
      <w:r>
        <w:t xml:space="preserve">e smanjiti digitalni jaz između urbanih i ruralnih područja Republike Hrvatske  </w:t>
      </w:r>
    </w:p>
    <w:p w:rsidR="00895DD6" w:rsidRDefault="00F31687">
      <w:r>
        <w:t>Dostupnost mreža vrlo velikog kapaciteta (gigabitna povezivost) i 5G mreža dat će poticaj širokom korištenju i primjeni IKT-a u gospodarstvu i kućanstvima, omogućit će punu di</w:t>
      </w:r>
      <w:r>
        <w:t xml:space="preserve">gitalizaciju sustava javne uprave te je u konačnici realno za očekivati da će Republika Hrvatska u narednom razdoblju ostvarivati brži gospodarski rast.  </w:t>
      </w:r>
    </w:p>
    <w:p w:rsidR="00895DD6" w:rsidRDefault="00F31687">
      <w:r>
        <w:t>Ciljane vrijednosti pokazatelja rezultata za 2025. godinu ostvarene, budući da je tijekom 2025. godine ostvarena ciljana vrijednost za broj održanih sastanaka radne skupine za 5G mreže kao i ciljana vrijednost za broj održanih skupova i javnih tribina u ci</w:t>
      </w:r>
      <w:r>
        <w:t>lju informiranju jedinica lokalne i područne (regionalne) samouprave o ključnim odredbama prostornih planova vezanim uz postavljanje elektroničkih komunikacijskih mreža.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0"/>
        <w:gridCol w:w="2551"/>
        <w:gridCol w:w="1020"/>
        <w:gridCol w:w="1020"/>
        <w:gridCol w:w="1025"/>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održanih skupova i javnih tribina</w:t>
            </w:r>
          </w:p>
        </w:tc>
        <w:tc>
          <w:tcPr>
            <w:tcW w:w="2551" w:type="dxa"/>
          </w:tcPr>
          <w:p w:rsidR="00895DD6" w:rsidRDefault="00F31687">
            <w:pPr>
              <w:pStyle w:val="CellColumn"/>
              <w:jc w:val="left"/>
            </w:pPr>
            <w:r>
              <w:rPr>
                <w:rFonts w:cs="Times New Roman"/>
              </w:rPr>
              <w:t>Informiranje jedinica lokalne i područne (regionalne) samouprave o ključnim odredbama prostornih planova vezanim uz postavljanje elektroničkih ko</w:t>
            </w:r>
            <w:r>
              <w:rPr>
                <w:rFonts w:cs="Times New Roman"/>
              </w:rPr>
              <w:t>munikacijskih mreža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Hrvatska regulatorna agencija za mrežne djelatnosti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1</w:t>
            </w:r>
          </w:p>
        </w:tc>
      </w:tr>
      <w:tr w:rsidR="00895DD6">
        <w:trPr>
          <w:jc w:val="center"/>
        </w:trPr>
        <w:tc>
          <w:tcPr>
            <w:tcW w:w="2551" w:type="dxa"/>
          </w:tcPr>
          <w:p w:rsidR="00895DD6" w:rsidRDefault="00F31687">
            <w:pPr>
              <w:pStyle w:val="CellColumn"/>
              <w:jc w:val="left"/>
            </w:pPr>
            <w:r>
              <w:rPr>
                <w:rFonts w:cs="Times New Roman"/>
              </w:rPr>
              <w:t>Broj održanih sastanaka radne skupine za 5G mreže</w:t>
            </w:r>
          </w:p>
        </w:tc>
        <w:tc>
          <w:tcPr>
            <w:tcW w:w="2551" w:type="dxa"/>
          </w:tcPr>
          <w:p w:rsidR="00895DD6" w:rsidRDefault="00F31687">
            <w:pPr>
              <w:pStyle w:val="CellColumn"/>
              <w:jc w:val="left"/>
            </w:pPr>
            <w:r>
              <w:rPr>
                <w:rFonts w:cs="Times New Roman"/>
              </w:rPr>
              <w:t>Izvješćivanje o napretku uvođenja 5G mreža, identificiranje uočenih prepreka i teškoća vezanih uz uvođenje 5G mreža, suradnja radne skupine s tijelima državne uprave nadležnima za digitalno društvo</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Hrvatska regulatorna agencija za mrežne djelatnosti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3"/>
      </w:pPr>
      <w:r>
        <w:rPr>
          <w:rFonts w:cs="Times New Roman"/>
        </w:rPr>
        <w:lastRenderedPageBreak/>
        <w:t>3109 SIGURNOST PLOVIDBE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3109-SIGURNOST PLOVIDBE</w:t>
            </w:r>
          </w:p>
        </w:tc>
        <w:tc>
          <w:tcPr>
            <w:tcW w:w="2041" w:type="dxa"/>
          </w:tcPr>
          <w:p w:rsidR="00895DD6" w:rsidRDefault="00F31687">
            <w:pPr>
              <w:pStyle w:val="CellColumn"/>
              <w:jc w:val="right"/>
            </w:pPr>
            <w:r>
              <w:rPr>
                <w:rFonts w:cs="Times New Roman"/>
              </w:rPr>
              <w:t>30.593.584</w:t>
            </w:r>
          </w:p>
        </w:tc>
        <w:tc>
          <w:tcPr>
            <w:tcW w:w="2041" w:type="dxa"/>
          </w:tcPr>
          <w:p w:rsidR="00895DD6" w:rsidRDefault="00F31687">
            <w:pPr>
              <w:pStyle w:val="CellColumn"/>
              <w:jc w:val="right"/>
            </w:pPr>
            <w:r>
              <w:rPr>
                <w:rFonts w:cs="Times New Roman"/>
              </w:rPr>
              <w:t>47.017.126</w:t>
            </w:r>
          </w:p>
        </w:tc>
        <w:tc>
          <w:tcPr>
            <w:tcW w:w="2041" w:type="dxa"/>
          </w:tcPr>
          <w:p w:rsidR="00895DD6" w:rsidRDefault="00F31687">
            <w:pPr>
              <w:pStyle w:val="CellColumn"/>
              <w:jc w:val="right"/>
            </w:pPr>
            <w:r>
              <w:rPr>
                <w:rFonts w:cs="Times New Roman"/>
              </w:rPr>
              <w:t>39.031.500</w:t>
            </w:r>
          </w:p>
        </w:tc>
        <w:tc>
          <w:tcPr>
            <w:tcW w:w="1224" w:type="dxa"/>
          </w:tcPr>
          <w:p w:rsidR="00895DD6" w:rsidRDefault="00F31687">
            <w:pPr>
              <w:pStyle w:val="CellColumn"/>
              <w:jc w:val="right"/>
            </w:pPr>
            <w:r>
              <w:rPr>
                <w:rFonts w:cs="Times New Roman"/>
              </w:rPr>
              <w:t>83,0</w:t>
            </w:r>
          </w:p>
        </w:tc>
        <w:tc>
          <w:tcPr>
            <w:tcW w:w="1224" w:type="dxa"/>
          </w:tcPr>
          <w:p w:rsidR="00895DD6" w:rsidRDefault="00F31687">
            <w:pPr>
              <w:pStyle w:val="CellColumn"/>
              <w:jc w:val="right"/>
            </w:pPr>
            <w:r>
              <w:rPr>
                <w:rFonts w:cs="Times New Roman"/>
              </w:rPr>
              <w:t>127,6</w:t>
            </w:r>
          </w:p>
        </w:tc>
      </w:tr>
    </w:tbl>
    <w:p w:rsidR="00895DD6" w:rsidRDefault="00895DD6">
      <w:pPr>
        <w:jc w:val="left"/>
      </w:pPr>
    </w:p>
    <w:p w:rsidR="00895DD6" w:rsidRDefault="00F31687">
      <w:pPr>
        <w:pStyle w:val="Heading8"/>
        <w:jc w:val="left"/>
      </w:pPr>
      <w:r>
        <w:t>Cilj 1. Sigurna plovidba morem i unutarnjim vodama</w:t>
      </w:r>
    </w:p>
    <w:p w:rsidR="00895DD6" w:rsidRDefault="00F31687">
      <w:pPr>
        <w:pStyle w:val="Heading8"/>
        <w:jc w:val="left"/>
      </w:pPr>
      <w:r>
        <w:t>Opis provedbe cilja programa</w:t>
      </w:r>
    </w:p>
    <w:p w:rsidR="00895DD6" w:rsidRDefault="00F31687">
      <w:r>
        <w:t>Cilj programa odnosi se na kontinuirano pružanje usluga sigurnosti plovidbe kao što su traganje i spašavanje osoba u pogibelji na moru i unutarnjim vodama, nadzor i upravljanje pomorskim prometom i prometom na unutarnjim vodama, poslovi predviđanja, sprječ</w:t>
      </w:r>
      <w:r>
        <w:t>avanja, ograničavanja, spremnosti za i reagiranje na iznenadna onečišćenja mora, obavljanje inspekcijskog nadzora sigurnosti plovidbe i pomorskog dobra, obavljanje tehničkog nadzora nad pomorskim objektima i plovnim objektima unutarnje plovidbe, provjera o</w:t>
      </w:r>
      <w:r>
        <w:t>sposobljenosti pomoraca, brodaraca i nautičara, izdavanje svjedodžbi i uvjerenja o osposobljenosti, vođenje upisnika i očevidnika pomorskih objekata i plovila unutarnje plovidbe, koje su u izravnoj nadležnosti Republike Hrvatske, odnosno Ministarstva mora,</w:t>
      </w:r>
      <w:r>
        <w:t xml:space="preserve"> prometa i infrastrukture sukladno međunarodnim i nacionalnim propisima.</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Smanjen broj plovidbenih nezgoda</w:t>
            </w:r>
          </w:p>
        </w:tc>
        <w:tc>
          <w:tcPr>
            <w:tcW w:w="2551" w:type="dxa"/>
          </w:tcPr>
          <w:p w:rsidR="00895DD6" w:rsidRDefault="00F31687">
            <w:pPr>
              <w:pStyle w:val="CellColumn"/>
              <w:jc w:val="left"/>
            </w:pPr>
            <w:r>
              <w:rPr>
                <w:rFonts w:cs="Times New Roman"/>
              </w:rPr>
              <w:t>Sm</w:t>
            </w:r>
            <w:r>
              <w:rPr>
                <w:rFonts w:cs="Times New Roman"/>
              </w:rPr>
              <w:t>anjenje broja evidentiranih pomorskih nezgoda u promatranom razdoblju ukazuje na povećanje razine sigurnosti plovidbe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980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&lt;960</w:t>
            </w:r>
          </w:p>
        </w:tc>
        <w:tc>
          <w:tcPr>
            <w:tcW w:w="1020" w:type="dxa"/>
          </w:tcPr>
          <w:p w:rsidR="00895DD6" w:rsidRDefault="00F31687">
            <w:pPr>
              <w:pStyle w:val="CellColumn"/>
              <w:jc w:val="right"/>
            </w:pPr>
            <w:r>
              <w:rPr>
                <w:rFonts w:cs="Times New Roman"/>
              </w:rPr>
              <w:t>796</w:t>
            </w:r>
          </w:p>
        </w:tc>
      </w:tr>
    </w:tbl>
    <w:p w:rsidR="00895DD6" w:rsidRDefault="00895DD6">
      <w:pPr>
        <w:jc w:val="left"/>
      </w:pPr>
    </w:p>
    <w:p w:rsidR="00895DD6" w:rsidRDefault="00F31687">
      <w:pPr>
        <w:pStyle w:val="Heading4"/>
      </w:pPr>
      <w:r>
        <w:t>A570017 SIGURNOST PLOVIDBE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A570017-SIGURNOST PLOVIDBE</w:t>
            </w:r>
          </w:p>
        </w:tc>
        <w:tc>
          <w:tcPr>
            <w:tcW w:w="2041" w:type="dxa"/>
          </w:tcPr>
          <w:p w:rsidR="00895DD6" w:rsidRDefault="00F31687">
            <w:pPr>
              <w:pStyle w:val="CellColumn"/>
              <w:jc w:val="right"/>
            </w:pPr>
            <w:r>
              <w:rPr>
                <w:rFonts w:cs="Times New Roman"/>
              </w:rPr>
              <w:t>21.615.971</w:t>
            </w:r>
          </w:p>
        </w:tc>
        <w:tc>
          <w:tcPr>
            <w:tcW w:w="2041" w:type="dxa"/>
          </w:tcPr>
          <w:p w:rsidR="00895DD6" w:rsidRDefault="00F31687">
            <w:pPr>
              <w:pStyle w:val="CellColumn"/>
              <w:jc w:val="right"/>
            </w:pPr>
            <w:r>
              <w:rPr>
                <w:rFonts w:cs="Times New Roman"/>
              </w:rPr>
              <w:t>34.859.606</w:t>
            </w:r>
          </w:p>
        </w:tc>
        <w:tc>
          <w:tcPr>
            <w:tcW w:w="2041" w:type="dxa"/>
          </w:tcPr>
          <w:p w:rsidR="00895DD6" w:rsidRDefault="00F31687">
            <w:pPr>
              <w:pStyle w:val="CellColumn"/>
              <w:jc w:val="right"/>
            </w:pPr>
            <w:r>
              <w:rPr>
                <w:rFonts w:cs="Times New Roman"/>
              </w:rPr>
              <w:t>28.389.215</w:t>
            </w:r>
          </w:p>
        </w:tc>
        <w:tc>
          <w:tcPr>
            <w:tcW w:w="1224" w:type="dxa"/>
          </w:tcPr>
          <w:p w:rsidR="00895DD6" w:rsidRDefault="00F31687">
            <w:pPr>
              <w:pStyle w:val="CellColumn"/>
              <w:jc w:val="right"/>
            </w:pPr>
            <w:r>
              <w:rPr>
                <w:rFonts w:cs="Times New Roman"/>
              </w:rPr>
              <w:t>81,4</w:t>
            </w:r>
          </w:p>
        </w:tc>
        <w:tc>
          <w:tcPr>
            <w:tcW w:w="1224" w:type="dxa"/>
          </w:tcPr>
          <w:p w:rsidR="00895DD6" w:rsidRDefault="00F31687">
            <w:pPr>
              <w:pStyle w:val="CellColumn"/>
              <w:jc w:val="right"/>
            </w:pPr>
            <w:r>
              <w:rPr>
                <w:rFonts w:cs="Times New Roman"/>
              </w:rPr>
              <w:t>131,3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dio III., IV., V., VIII. i XI.  </w:t>
      </w:r>
    </w:p>
    <w:p w:rsidR="00895DD6" w:rsidRDefault="00F31687">
      <w:r>
        <w:t xml:space="preserve">- Zakon o plovidbi i lukama unutarnjih voda  </w:t>
      </w:r>
    </w:p>
    <w:p w:rsidR="00895DD6" w:rsidRDefault="00F31687">
      <w:r>
        <w:t xml:space="preserve">- Zakon o lučkim kapetanijama  </w:t>
      </w:r>
    </w:p>
    <w:p w:rsidR="00895DD6" w:rsidRDefault="00F31687">
      <w:r>
        <w:t xml:space="preserve">- Zakon o pomorskom dobru i morskim lukama dio IV., V. i VI.  </w:t>
      </w:r>
    </w:p>
    <w:p w:rsidR="00895DD6" w:rsidRDefault="00F31687">
      <w:r>
        <w:t xml:space="preserve">- Zakon o sigurnosnoj zaštiti pomorskih brodova i luka  </w:t>
      </w:r>
    </w:p>
    <w:p w:rsidR="00895DD6" w:rsidRDefault="00F31687">
      <w:r>
        <w:t>- Nacionalni plan traganja i spašavanja ljudskih života na</w:t>
      </w:r>
      <w:r>
        <w:t xml:space="preserve"> moru  </w:t>
      </w:r>
    </w:p>
    <w:p w:rsidR="00895DD6" w:rsidRDefault="00F31687">
      <w:r>
        <w:t xml:space="preserve">- Plan intervencija kod iznenadnih onečišćenja mora  </w:t>
      </w:r>
    </w:p>
    <w:p w:rsidR="00895DD6" w:rsidRDefault="00F31687">
      <w:r>
        <w:lastRenderedPageBreak/>
        <w:t xml:space="preserve">- Pravilnik o službenoj odori državnih službenika lučkih kapetanija  </w:t>
      </w:r>
    </w:p>
    <w:p w:rsidR="00895DD6" w:rsidRDefault="00F31687">
      <w:r>
        <w:t>- Zakon o Plovputu</w:t>
      </w:r>
    </w:p>
    <w:p w:rsidR="00895DD6" w:rsidRDefault="00F31687">
      <w:pPr>
        <w:pStyle w:val="Heading8"/>
        <w:jc w:val="left"/>
      </w:pPr>
      <w:r>
        <w:t>Opis aktivnosti</w:t>
      </w:r>
    </w:p>
    <w:p w:rsidR="00895DD6" w:rsidRDefault="00F31687">
      <w:r>
        <w:t>Ovom aktivnosti osigurala su  se sredstva državnog proračuna nužna za pružanje usluga sig</w:t>
      </w:r>
      <w:r>
        <w:t>urnosti plovidbe kao što su traganje i spašavanje osoba u pogibelji na moru i unutarnjim vodama, nadzor i upravljanje pomorskim prometom i prometom na unutarnjim vodama, poslovi predviđanja, sprječavanja, ograničavanja, spremnosti za i reagiranje na iznena</w:t>
      </w:r>
      <w:r>
        <w:t>dna onečišćenja mora, obavljanje inspekcijskog nadzora sigurnosti plovidbe i pomorskog dobra, obavljanje tehničkog nadzora nad pomorskim objektima i plovnim objektima unutarnje plovidbe, provjera osposobljenosti pomoraca, brodaraca i nautičara, izdavanje s</w:t>
      </w:r>
      <w:r>
        <w:t>vjedodžbi i uvjerenja o osposobljenosti, vođenje upisnika i očevidnika pomorskih objekata i plovila unutarnje plovidbe, koje su u izravnoj nadležnosti Republike Hrvatske, odnosno Ministarstva mora, prometa i infrastrukture sukladno međunarodnim i nacionaln</w:t>
      </w:r>
      <w:r>
        <w:t xml:space="preserve">im propisima.   </w:t>
      </w:r>
    </w:p>
    <w:p w:rsidR="00895DD6" w:rsidRDefault="00F31687">
      <w:r>
        <w:t>Na aktivnosti su osigurana sredstva za pokriće troškova za zaposlene djelatnike Uprave sigurnosti plovidbe i lučkih kapetanija, sredstva za redovan rad i održavanje flote lučkih kapetanija, sredstva za održavanje sustava za nadzor pomorsko</w:t>
      </w:r>
      <w:r>
        <w:t>g prometa i prometa unutarnjim vodama (VTS i RIS sustavi), održavanja i nadogradnji Informacijskog sustava sigurnosti plovidbe te nabavku automobila i ostale opreme i uređaja koji su potrebi za redovito obavljanje poslova iz nadležnosti Uprave sigurnosti p</w:t>
      </w:r>
      <w:r>
        <w:t xml:space="preserve">lovidbe. </w:t>
      </w:r>
    </w:p>
    <w:p w:rsidR="00895DD6" w:rsidRDefault="00F31687">
      <w:r>
        <w:t>Troškovi za zaposlene djelatnike su troškovi plaća i doprinosa, službenih putovanja, naknade za prijevoz, za rad na terenu i odvojeni život, stručnog usavršavanja, odora, zaštitne radne odjeće i obuće i ostalih rashoda za zaposlene koji su planir</w:t>
      </w:r>
      <w:r>
        <w:t>ani u ukupnom iznosu od 16.228.000 EUR, a utvrđeni su uzimajući u obzir troškove 411 zaposlenih djelatnika na neodređeno vrijeme, troškove 32 državna službenika na određeno vrijeme koje se zapošljavaju svake godine u lučkim kapetanijama i ispostavama lučki</w:t>
      </w:r>
      <w:r>
        <w:t>h kapetanija tijekom turističke sezone zbog povećanog opsega poslova, troškove novih djelatnika koji su započeli raditi tijekom 2025. godine temeljem postupaka prijama u državnu službu koji su u tijeku, kao i troškove zaposlenih temeljem Plana prijama za 2</w:t>
      </w:r>
      <w:r>
        <w:t xml:space="preserve">025. godinu, koji će prvenstveno uzeti u obzir popunu nužnih mjesto upražnjenih odlaskom djelatnika u mirovinu kao i popunu onih radnih mjesta nužnih za provedbu reformskih mjera.  </w:t>
      </w:r>
    </w:p>
    <w:p w:rsidR="00895DD6" w:rsidRDefault="00F31687">
      <w:r>
        <w:t>Pri izračunu uzeti su o obzir troškovi djelatnika u službama koje rade bez</w:t>
      </w:r>
      <w:r>
        <w:t xml:space="preserve"> prekida, odnosno 24 sata 365 dana godišnje i planirano usklađivanje ustrojstva lučkih kapetanija sa Zakonom o lučkim kapetanijama. U 2025. godini ugovorene su i isporučene službene odore za djelatnike Uprave sigurnosti plovidbe temeljem provedenog postupk</w:t>
      </w:r>
      <w:r>
        <w:t xml:space="preserve">a javne nabave u iznosu od 2.613.496,73 EUR. </w:t>
      </w:r>
    </w:p>
    <w:p w:rsidR="00895DD6" w:rsidRDefault="00F31687">
      <w:r>
        <w:t xml:space="preserve"> Troškovi za redovan rad i održavanje flote koju čine 4 broda, 30 brodica, 12 čamaca lučkih kapetanija obuhvaćaju troškove tekućeg i investicijskog održavanja uključujući i potrošni materijal, dodatnih ulaganja</w:t>
      </w:r>
      <w:r>
        <w:t xml:space="preserve"> u opremu i uređaje, troškove goriva i ostale manje troškove potrošeno u ukupnom iznosu od 1.800.000 EUR. Za potrebe upravljanja (troškovi održavanja i posade) školskim brodom Kraljica mora, u 2025. godini potrošena su sredstva u iznosu od 291.945,58 EUR, </w:t>
      </w:r>
      <w:r>
        <w:t xml:space="preserve">a za projekt zamjene snasti na školskom brodu utrošeno je  220.000,00 EUR, dok se ostatak novca planira potrošiti tijekom 2026. godine, budući da se rok izvedbe ovih radova produljio na 2026. godinu. </w:t>
      </w:r>
    </w:p>
    <w:p w:rsidR="00895DD6" w:rsidRDefault="00F31687">
      <w:r>
        <w:t xml:space="preserve">Za potrebe tekućeg i investicijskog održavanja sustava </w:t>
      </w:r>
      <w:r>
        <w:t>za nadzor pomorskog prometa (VTMIS) i prometa unutarnjim vodama (RIS), kojeg čine 11 radarskih postaja, 6 CCTV kamera, 41 AIS baznih postaja i 63 VHF bazne postaje s pridruženim informacijskim sustavima na ovoj aktivnosti je utrošeno 1.360.993,43 EUR, a za</w:t>
      </w:r>
      <w:r>
        <w:t xml:space="preserve"> telekomunikacijsko povezivanje svih lokacija na kojima su smješteni VTMIS i RIS oprema i uređaji, prostora lučkih kapetanija i ispostava lučkih kapetanija utrošen je iznos od 1.471.080 EUR. Za nabavku nove informatičke opreme, licence, održavanje i dograd</w:t>
      </w:r>
      <w:r>
        <w:t xml:space="preserve">nje Informacijskog sustava sigurnosti plovidbe utrošeno je ukupno 2.078.200 EUR. </w:t>
      </w:r>
    </w:p>
    <w:p w:rsidR="00895DD6" w:rsidRDefault="00F31687">
      <w:r>
        <w:t xml:space="preserve">Za redovito godišnje obnavljanje voznog parka lučkih kapetanija potrošeno je 126.223 EUR temeljem čega je nabavljeno 5 novih osobnih automobila za lučke kapetanije. </w:t>
      </w:r>
    </w:p>
    <w:p w:rsidR="00895DD6" w:rsidRDefault="00F31687">
      <w:r>
        <w:t>Od 116 p</w:t>
      </w:r>
      <w:r>
        <w:t>oslovnih prostora koje koriste Uprava sigurnosti plovidbe i lučke kapetanije 63 prostora su u vlasništvu Republike Hrvatske, a 43 u najmu. U proračunu za 2025. godinu osigurana su sredstva u iznosu 1.050.000 EUR za potrebe kapitalnih ulaganja, a za tekućeg</w:t>
      </w:r>
      <w:r>
        <w:t xml:space="preserve"> održavanja, nabavku namještaja, opreme i uređaja, zakupnine i najamnine, troškove električne energije i ostale režijske troškove osiguran je iznos od 5.400.000 EUR. </w:t>
      </w:r>
    </w:p>
    <w:p w:rsidR="00895DD6" w:rsidRDefault="00F31687">
      <w:r>
        <w:t>Na aktivnosti su osigurana i sredstva za plaćanje članarina i normi u nacionalnim i međun</w:t>
      </w:r>
      <w:r>
        <w:t xml:space="preserve">arodnim asocijacijama, organizacijama, te institucijama (članstva u IALA, IMRF, PMoU te MedMoU), a za koje obveza članstva proizlazi iz sklopljenih međunarodnih ugovora te zakonskih propisa. U 2025. godini plaćene su međunarodna godišnja članarina za PMoU </w:t>
      </w:r>
      <w:r>
        <w:t>u iznosu od 39.355,58 EUR i za MedMou u iznosu od 23.150 EUR.</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Porast učestalosti inspekcijskih pregleda</w:t>
            </w:r>
          </w:p>
        </w:tc>
        <w:tc>
          <w:tcPr>
            <w:tcW w:w="2551" w:type="dxa"/>
          </w:tcPr>
          <w:p w:rsidR="00895DD6" w:rsidRDefault="00F31687">
            <w:pPr>
              <w:pStyle w:val="CellColumn"/>
              <w:jc w:val="left"/>
            </w:pPr>
            <w:r>
              <w:rPr>
                <w:rFonts w:cs="Times New Roman"/>
              </w:rPr>
              <w:t>Veći broj inspekcijskih pregleda ukazuje na porast nadzora sigurnosti plovidbe od strane inspektora sigurnosti plovidbe i ovlaštenih djelatnika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7.461</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&gt;7.525</w:t>
            </w:r>
          </w:p>
        </w:tc>
        <w:tc>
          <w:tcPr>
            <w:tcW w:w="1020" w:type="dxa"/>
          </w:tcPr>
          <w:p w:rsidR="00895DD6" w:rsidRDefault="00F31687">
            <w:pPr>
              <w:pStyle w:val="CellColumn"/>
              <w:jc w:val="right"/>
            </w:pPr>
            <w:r>
              <w:rPr>
                <w:rFonts w:cs="Times New Roman"/>
              </w:rPr>
              <w:t>7621</w:t>
            </w:r>
          </w:p>
        </w:tc>
      </w:tr>
      <w:tr w:rsidR="00895DD6">
        <w:trPr>
          <w:jc w:val="center"/>
        </w:trPr>
        <w:tc>
          <w:tcPr>
            <w:tcW w:w="2551" w:type="dxa"/>
          </w:tcPr>
          <w:p w:rsidR="00895DD6" w:rsidRDefault="00F31687">
            <w:pPr>
              <w:pStyle w:val="CellColumn"/>
              <w:jc w:val="left"/>
            </w:pPr>
            <w:r>
              <w:rPr>
                <w:rFonts w:cs="Times New Roman"/>
              </w:rPr>
              <w:t>Smanjenje broja zaustavljanja brodova hrvatske zastave u nacionalnoj plovidbi</w:t>
            </w:r>
          </w:p>
        </w:tc>
        <w:tc>
          <w:tcPr>
            <w:tcW w:w="2551" w:type="dxa"/>
          </w:tcPr>
          <w:p w:rsidR="00895DD6" w:rsidRDefault="00F31687">
            <w:pPr>
              <w:pStyle w:val="CellColumn"/>
              <w:jc w:val="left"/>
            </w:pPr>
            <w:r>
              <w:rPr>
                <w:rFonts w:cs="Times New Roman"/>
              </w:rPr>
              <w:t>Manji broj zaustavljanja pokazatelj je porasta razine poštivanja zakonskih i tehničkih odredbi od strane brodara i vlasnika brodova u nacionalnoj plovidbi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53</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&lt;14</w:t>
            </w:r>
          </w:p>
        </w:tc>
        <w:tc>
          <w:tcPr>
            <w:tcW w:w="1020" w:type="dxa"/>
          </w:tcPr>
          <w:p w:rsidR="00895DD6" w:rsidRDefault="00F31687">
            <w:pPr>
              <w:pStyle w:val="CellColumn"/>
              <w:jc w:val="right"/>
            </w:pPr>
            <w:r>
              <w:rPr>
                <w:rFonts w:cs="Times New Roman"/>
              </w:rPr>
              <w:t>13</w:t>
            </w:r>
          </w:p>
        </w:tc>
      </w:tr>
      <w:tr w:rsidR="00895DD6">
        <w:trPr>
          <w:jc w:val="center"/>
        </w:trPr>
        <w:tc>
          <w:tcPr>
            <w:tcW w:w="2551" w:type="dxa"/>
          </w:tcPr>
          <w:p w:rsidR="00895DD6" w:rsidRDefault="00F31687">
            <w:pPr>
              <w:pStyle w:val="CellColumn"/>
              <w:jc w:val="left"/>
            </w:pPr>
            <w:r>
              <w:rPr>
                <w:rFonts w:cs="Times New Roman"/>
              </w:rPr>
              <w:t>Smanjenje onečišćenja mora s pomorskih objekata</w:t>
            </w:r>
          </w:p>
        </w:tc>
        <w:tc>
          <w:tcPr>
            <w:tcW w:w="2551" w:type="dxa"/>
          </w:tcPr>
          <w:p w:rsidR="00895DD6" w:rsidRDefault="00F31687">
            <w:pPr>
              <w:pStyle w:val="CellColumn"/>
              <w:jc w:val="left"/>
            </w:pPr>
            <w:r>
              <w:rPr>
                <w:rFonts w:cs="Times New Roman"/>
              </w:rPr>
              <w:t>Manji broj onečišćenja mora s pomorskih objekata ukazuje na bolju zaštitu morskog okoliša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23</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&lt;21</w:t>
            </w:r>
          </w:p>
        </w:tc>
        <w:tc>
          <w:tcPr>
            <w:tcW w:w="1020" w:type="dxa"/>
          </w:tcPr>
          <w:p w:rsidR="00895DD6" w:rsidRDefault="00F31687">
            <w:pPr>
              <w:pStyle w:val="CellColumn"/>
              <w:jc w:val="right"/>
            </w:pPr>
            <w:r>
              <w:rPr>
                <w:rFonts w:cs="Times New Roman"/>
              </w:rPr>
              <w:t>18</w:t>
            </w:r>
          </w:p>
        </w:tc>
      </w:tr>
    </w:tbl>
    <w:p w:rsidR="00895DD6" w:rsidRDefault="00895DD6">
      <w:pPr>
        <w:jc w:val="left"/>
      </w:pPr>
    </w:p>
    <w:p w:rsidR="00895DD6" w:rsidRDefault="00F31687">
      <w:pPr>
        <w:pStyle w:val="Heading4"/>
      </w:pPr>
      <w:r>
        <w:t>A754057 JAČANJE TEHNIČKIH KAPACITETA SREDNJOŠKOLSKIH I VISOKOŠKOLSKIH POMORSKIH I BRODARSKIH UČI</w:t>
      </w:r>
      <w:r>
        <w:t>LIŠTA</w:t>
      </w:r>
    </w:p>
    <w:tbl>
      <w:tblPr>
        <w:tblStyle w:val="StilTablice"/>
        <w:tblW w:w="10206" w:type="dxa"/>
        <w:jc w:val="center"/>
        <w:tblLook w:val="04A0" w:firstRow="1" w:lastRow="0" w:firstColumn="1" w:lastColumn="0" w:noHBand="0" w:noVBand="1"/>
      </w:tblPr>
      <w:tblGrid>
        <w:gridCol w:w="1981"/>
        <w:gridCol w:w="1939"/>
        <w:gridCol w:w="1933"/>
        <w:gridCol w:w="1940"/>
        <w:gridCol w:w="1202"/>
        <w:gridCol w:w="1211"/>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A754057-JAČANJE TEHNIČKIH KAPACITETA SREDNJOŠKOLSKIH I VISOKOŠKOLSKIH POMORSKIH I BRODARSKIH UČILIŠTA</w:t>
            </w:r>
          </w:p>
        </w:tc>
        <w:tc>
          <w:tcPr>
            <w:tcW w:w="2041" w:type="dxa"/>
          </w:tcPr>
          <w:p w:rsidR="00895DD6" w:rsidRDefault="00F31687">
            <w:pPr>
              <w:pStyle w:val="CellColumn"/>
              <w:jc w:val="right"/>
            </w:pPr>
            <w:r>
              <w:rPr>
                <w:rFonts w:cs="Times New Roman"/>
              </w:rPr>
              <w:t>569.240</w:t>
            </w:r>
          </w:p>
        </w:tc>
        <w:tc>
          <w:tcPr>
            <w:tcW w:w="2041" w:type="dxa"/>
          </w:tcPr>
          <w:p w:rsidR="00895DD6" w:rsidRDefault="00F31687">
            <w:pPr>
              <w:pStyle w:val="CellColumn"/>
              <w:jc w:val="right"/>
            </w:pPr>
            <w:r>
              <w:rPr>
                <w:rFonts w:cs="Times New Roman"/>
              </w:rPr>
              <w:t>848.000</w:t>
            </w:r>
          </w:p>
        </w:tc>
        <w:tc>
          <w:tcPr>
            <w:tcW w:w="2041" w:type="dxa"/>
          </w:tcPr>
          <w:p w:rsidR="00895DD6" w:rsidRDefault="00F31687">
            <w:pPr>
              <w:pStyle w:val="CellColumn"/>
              <w:jc w:val="right"/>
            </w:pPr>
            <w:r>
              <w:rPr>
                <w:rFonts w:cs="Times New Roman"/>
              </w:rPr>
              <w:t>820.519</w:t>
            </w:r>
          </w:p>
        </w:tc>
        <w:tc>
          <w:tcPr>
            <w:tcW w:w="1224" w:type="dxa"/>
          </w:tcPr>
          <w:p w:rsidR="00895DD6" w:rsidRDefault="00F31687">
            <w:pPr>
              <w:pStyle w:val="CellColumn"/>
              <w:jc w:val="right"/>
            </w:pPr>
            <w:r>
              <w:rPr>
                <w:rFonts w:cs="Times New Roman"/>
              </w:rPr>
              <w:t>96,8</w:t>
            </w:r>
          </w:p>
        </w:tc>
        <w:tc>
          <w:tcPr>
            <w:tcW w:w="1224" w:type="dxa"/>
          </w:tcPr>
          <w:p w:rsidR="00895DD6" w:rsidRDefault="00F31687">
            <w:pPr>
              <w:pStyle w:val="CellColumn"/>
              <w:jc w:val="right"/>
            </w:pPr>
            <w:r>
              <w:rPr>
                <w:rFonts w:cs="Times New Roman"/>
              </w:rPr>
              <w:t>144,1</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članak 132.  </w:t>
      </w:r>
    </w:p>
    <w:p w:rsidR="00895DD6" w:rsidRDefault="00F31687">
      <w:r>
        <w:t xml:space="preserve">- Zakon o plovidbi i lukama unutarnjih voda, članak 75.  </w:t>
      </w:r>
    </w:p>
    <w:p w:rsidR="00895DD6" w:rsidRDefault="00F31687">
      <w:r>
        <w:t xml:space="preserve">- Pravilnik o zvanjima i svjedodžbama o osposobljenosti pomoraca, članak 79. i Prilog G2  </w:t>
      </w:r>
    </w:p>
    <w:p w:rsidR="00895DD6" w:rsidRDefault="00F31687">
      <w:r>
        <w:t>- Pravilnik o posadi plovila i plutajućih objekata unutarnje plovidbe, članak 45. i Prilog IV.</w:t>
      </w:r>
    </w:p>
    <w:p w:rsidR="00895DD6" w:rsidRDefault="00F31687">
      <w:pPr>
        <w:pStyle w:val="Heading8"/>
        <w:jc w:val="left"/>
      </w:pPr>
      <w:r>
        <w:t>Opis aktivnosti</w:t>
      </w:r>
    </w:p>
    <w:p w:rsidR="00895DD6" w:rsidRDefault="00F31687">
      <w:r>
        <w:t>Aktivnost se za potrebe srednjoškolskih pomorskih učilišta započela provoditi 2018. godine i od tada se provodi konitnuirano. Ista aktivnost se 2</w:t>
      </w:r>
      <w:r>
        <w:t>025. godine proširila na provedbu za visokoškolska pomorska učilišta temeljem osiguranih sredstava u Državnom proračunu Republike Hrvatske i zaključenog Sporazuma o međusobnoj suradnji u osiguravanju kontinuirane, pravilne i potpune promjene Međunarodne ko</w:t>
      </w:r>
      <w:r>
        <w:t>nvencije o standarima izobrazbe, izdavanju svjedodžbi i držanju straže pomoraca, STCW (1978), kako je izmijenjena i dopunjena, kojeg je ovo Ministarstvo zaključilo sa Ministarstvom znanosti obrazovanja i mladih (KLASA: 342-33/25-01/6, URBROJ: 530-04-3-1-25</w:t>
      </w:r>
      <w:r>
        <w:t xml:space="preserve">-25 od 17. ožujka 2025. godine). </w:t>
      </w:r>
    </w:p>
    <w:p w:rsidR="00895DD6" w:rsidRDefault="00F31687">
      <w:r>
        <w:lastRenderedPageBreak/>
        <w:t>Procjena potrebnih sredstava izrađuje se temeljem prikupljenih podataka o potrebama za nabavkom i nadogradnjom opreme srednjoškolskih i visokoškolskih pomorskih učilišta i srednjoškolskih brodarskih učilišta, prosječnih tr</w:t>
      </w:r>
      <w:r>
        <w:t xml:space="preserve">žišnih vrijednosti nabave i stavljanja u funkciju opreme, a sve sa ciljem da se godišnje svaka srednja pomorska i brodarska škola opremi barem jednim odgovarajućim simulatorom i/ili nekim drugim potrebnim uređajem. </w:t>
      </w:r>
    </w:p>
    <w:p w:rsidR="00895DD6" w:rsidRDefault="00F31687">
      <w:r>
        <w:t>Međunarodnom konvencijom o standardima i</w:t>
      </w:r>
      <w:r>
        <w:t>zobrazbe, izdavanju svjedodžbi i držanju straže pomoraca (STCW) 1978, propisani su specifični uvjeti u pogledu tehničke i materijalne opremljenosti kojima moraju udovoljiti učilišta ovlaštena za provedbu programa obrazovanja i/ili izobrazbe pomoraca. Sreds</w:t>
      </w:r>
      <w:r>
        <w:t>tva na ovoj aktivnosti koristila su se za opremanje srednjoškolskih pomorskih učilišta u vlasništvu područne (regionalne) samouprave obveznom opremom i visokoškolskih pomorskih učilišta u vlasništu sveučilišta u skladu sa odredbama STCW Konvencije 1978, ka</w:t>
      </w:r>
      <w:r>
        <w:t xml:space="preserve">ko je izmijenjena i dopunjena, te nacionalnih propisa kojim su implementirani sadržaji iste. </w:t>
      </w:r>
    </w:p>
    <w:p w:rsidR="00895DD6" w:rsidRDefault="00F31687">
      <w:r>
        <w:t>Pravnom stečevinom EU i to u prvom redu odredbama Direktive (EU) 2017/2397 Europskog parlamenta i Vijeća od 12. prosinca 2017. o priznavanju stručnih kvalifikacij</w:t>
      </w:r>
      <w:r>
        <w:t>a u unutarnjoj plovidbi i stavljanju izvan snage direktiva Vijeća 91/672/EEZ i 96/50/EZ (Tekst značajan za EGP) (SL L 345, 27. 12. 2017.), Delegirane direktive Komisije (EU) 2020/12 od 2. kolovoza 2019. o dopuni Direktive (EU) 2017/2397 Europskog parlament</w:t>
      </w:r>
      <w:r>
        <w:t>a i Vijeća s obzirom na standarde za kompetencije i odgovarajuća znanja i vještine, za praktične ispite, za odobravanje simulatora i za zdravstvenu sposobnost (Tekst značajan za EGP) (SL L 6, 10. 1.2020.), te Direktive (EU) 2021/1233 Europskog parlamenta i</w:t>
      </w:r>
      <w:r>
        <w:t xml:space="preserve"> Vijeća od 14. srpnja 2021. o izmjeni Direktive (EU) 2017/2397 u pogledu prijelaznih mjera za priznavanje svjedodžbi trećih zemalja (Tekst značajan za EGP) (SL L 274, 30. 7. 2021.) propisani su specifični uvjeti u pogledu tehničke i materijale opremljenost</w:t>
      </w:r>
      <w:r>
        <w:t>i kojima moraju udovoljiti brodarska učilišta ovlaštena za provedbu programa obrazovanja brodaraca. S obzirom da tijekom 2025. godine nijedna brodarska škola nije posjedovala dopusnicu za izvođenje programa obrazovanja za stjecanje zanimanja Nautičar unuta</w:t>
      </w:r>
      <w:r>
        <w:t>rnje plovidbe, time nije postojala niti obveza za nabavkom opreme u skladu sa predmetnom Direktivom (EU) 2017/2397.</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w:t>
            </w:r>
            <w:r>
              <w:rPr>
                <w:rFonts w:cs="Times New Roman"/>
              </w:rPr>
              <w:t>nost (2025.)</w:t>
            </w:r>
          </w:p>
        </w:tc>
      </w:tr>
      <w:tr w:rsidR="00895DD6">
        <w:trPr>
          <w:jc w:val="center"/>
        </w:trPr>
        <w:tc>
          <w:tcPr>
            <w:tcW w:w="2551" w:type="dxa"/>
          </w:tcPr>
          <w:p w:rsidR="00895DD6" w:rsidRDefault="00F31687">
            <w:pPr>
              <w:pStyle w:val="CellColumn"/>
              <w:jc w:val="left"/>
            </w:pPr>
            <w:r>
              <w:rPr>
                <w:rFonts w:cs="Times New Roman"/>
              </w:rPr>
              <w:t>Opremljenost srednjoškolskih pomorskih učilišta sukladno zadnjim zahtjevima izmijenjene i dopunjene STCW Konvencije</w:t>
            </w:r>
          </w:p>
        </w:tc>
        <w:tc>
          <w:tcPr>
            <w:tcW w:w="2551" w:type="dxa"/>
          </w:tcPr>
          <w:p w:rsidR="00895DD6" w:rsidRDefault="00F31687">
            <w:pPr>
              <w:pStyle w:val="CellColumn"/>
              <w:jc w:val="left"/>
            </w:pPr>
            <w:r>
              <w:rPr>
                <w:rFonts w:cs="Times New Roman"/>
              </w:rPr>
              <w:t xml:space="preserve">Za potrebe obavljanja obrazovanja učenika, srednjoškolska pomorska učilišta u vlasništvu područne (regionalne) samouprave opremit će se obveznom opremom (npr. simulatorima) u skladu sa odredbama STCW Konvencije  </w:t>
            </w:r>
          </w:p>
          <w:p w:rsidR="00895DD6" w:rsidRDefault="00F31687">
            <w:pPr>
              <w:pStyle w:val="CellColumn"/>
              <w:jc w:val="left"/>
            </w:pPr>
            <w:r>
              <w:rPr>
                <w:rFonts w:cs="Times New Roman"/>
              </w:rPr>
              <w:t>Za potrebe obavljanja obrazovanja učenika u</w:t>
            </w:r>
            <w:r>
              <w:rPr>
                <w:rFonts w:cs="Times New Roman"/>
              </w:rPr>
              <w:t xml:space="preserve"> dijelu unutarnje plovidbe, brodarske škole u vlasništvu područne (regionalne) samouprave opremit će se obveznom opremom (npr. simulatorima) u skladu sa standardima koji proizlaze iz pravne stečevine EU</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40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50</w:t>
            </w:r>
          </w:p>
        </w:tc>
        <w:tc>
          <w:tcPr>
            <w:tcW w:w="1020" w:type="dxa"/>
          </w:tcPr>
          <w:p w:rsidR="00895DD6" w:rsidRDefault="00F31687">
            <w:pPr>
              <w:pStyle w:val="CellColumn"/>
              <w:jc w:val="right"/>
            </w:pPr>
            <w:r>
              <w:rPr>
                <w:rFonts w:cs="Times New Roman"/>
              </w:rPr>
              <w:t>60</w:t>
            </w:r>
          </w:p>
        </w:tc>
      </w:tr>
    </w:tbl>
    <w:p w:rsidR="00895DD6" w:rsidRDefault="00895DD6">
      <w:pPr>
        <w:jc w:val="left"/>
      </w:pPr>
    </w:p>
    <w:p w:rsidR="00895DD6" w:rsidRDefault="00F31687">
      <w:pPr>
        <w:pStyle w:val="Heading4"/>
      </w:pPr>
      <w:r>
        <w:t>A754063 ODRŽAVANJE MREŽE PLOVILA-ČI</w:t>
      </w:r>
      <w:r>
        <w:t>STAČA ZA DJELOVANJE KOD IZNENADNIH ONEČIŠĆENJA MORA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A754063-ODRŽAVANJE MREŽE PLOVILA-ČISTAČA ZA DJELOVANJE KOD IZNENADNIH ONEČIŠĆENJA MORA</w:t>
            </w:r>
          </w:p>
        </w:tc>
        <w:tc>
          <w:tcPr>
            <w:tcW w:w="2041" w:type="dxa"/>
          </w:tcPr>
          <w:p w:rsidR="00895DD6" w:rsidRDefault="00F31687">
            <w:pPr>
              <w:pStyle w:val="CellColumn"/>
              <w:jc w:val="right"/>
            </w:pPr>
            <w:r>
              <w:rPr>
                <w:rFonts w:cs="Times New Roman"/>
              </w:rPr>
              <w:t>305.262</w:t>
            </w:r>
          </w:p>
        </w:tc>
        <w:tc>
          <w:tcPr>
            <w:tcW w:w="2041" w:type="dxa"/>
          </w:tcPr>
          <w:p w:rsidR="00895DD6" w:rsidRDefault="00F31687">
            <w:pPr>
              <w:pStyle w:val="CellColumn"/>
              <w:jc w:val="right"/>
            </w:pPr>
            <w:r>
              <w:rPr>
                <w:rFonts w:cs="Times New Roman"/>
              </w:rPr>
              <w:t>305.262</w:t>
            </w:r>
          </w:p>
        </w:tc>
        <w:tc>
          <w:tcPr>
            <w:tcW w:w="2041" w:type="dxa"/>
          </w:tcPr>
          <w:p w:rsidR="00895DD6" w:rsidRDefault="00F31687">
            <w:pPr>
              <w:pStyle w:val="CellColumn"/>
              <w:jc w:val="right"/>
            </w:pPr>
            <w:r>
              <w:rPr>
                <w:rFonts w:cs="Times New Roman"/>
              </w:rPr>
              <w:t>305.262</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članak 49.h, članak 55.f i članak 55.h  </w:t>
      </w:r>
    </w:p>
    <w:p w:rsidR="00895DD6" w:rsidRDefault="00F31687">
      <w:r>
        <w:t xml:space="preserve">- Plan intervencija kod iznenadnih onečišćenja mora, točke: 31., 35., 40. i 108.  </w:t>
      </w:r>
    </w:p>
    <w:p w:rsidR="00895DD6" w:rsidRDefault="00F31687">
      <w:r>
        <w:t>- Odluka Vlade RH o sufinanciranju održavanja mreže plovila čistača mora za djelovanje kod iznenadnih onečišćenja mora</w:t>
      </w:r>
    </w:p>
    <w:p w:rsidR="00895DD6" w:rsidRDefault="00F31687">
      <w:pPr>
        <w:pStyle w:val="Heading8"/>
        <w:jc w:val="left"/>
      </w:pPr>
      <w:r>
        <w:t>Opis aktivnosti</w:t>
      </w:r>
    </w:p>
    <w:p w:rsidR="00895DD6" w:rsidRDefault="00F31687">
      <w:r>
        <w:t>Sredstva za izvršenje aktivnosti namij</w:t>
      </w:r>
      <w:r>
        <w:t>enjena su za sufinanciranje održavanja mreže plovila čistača mora raspoređenih duž Jadranske obale kao preduvjeta učinkovite zaštite morskog okoliša i obalnog područja od iznenadnih onečišćenja mora s pomorskih objekata, odnosno za provedbu mjera za smanje</w:t>
      </w:r>
      <w:r>
        <w:t xml:space="preserve">nje šteta u morskom okolišu i obalnom području, zaštitu ljudskog zdravlja, te sprječavanje ometanje pomorske djelatnosti i drugih zakonitih uporaba mora i podmorja u slučajevima iznenadnih onečišćenja mora s pomorskih objekata. </w:t>
      </w:r>
    </w:p>
    <w:p w:rsidR="00895DD6" w:rsidRDefault="00F31687">
      <w:r>
        <w:t>Odlukom Vlade Republike Hrv</w:t>
      </w:r>
      <w:r>
        <w:t>atske (KLASA: 022-03/19-04/133; URBROJ: 50301-27/25-13-3), od 18. travnja 2019. godine, o sufinanciranju održavanja mreže plovila čistača mora za djelovanje kod iznenadnih onečišćenja mora, Vlada Republike Hrvatske se obvezala sufinancirati troškove održav</w:t>
      </w:r>
      <w:r>
        <w:t xml:space="preserve">anja mreže od ukupno 10 plovila čistača mora, raspoređenih duž hrvatske obale u iznosu od 30.526 EUR po plovilu čistaču mora godišnje, odnosno ukupno 305.262 EUR godišnje za cijelu mrežu plovila. </w:t>
      </w:r>
    </w:p>
    <w:p w:rsidR="00895DD6" w:rsidRDefault="00F31687">
      <w:r>
        <w:t>Mreža plovila čistača mora sastoji se od 5 plovila tipa ECO</w:t>
      </w:r>
      <w:r>
        <w:t>-13, koje je Ministarstvo zaštite okoliša, prostornog uređenja i graditeljstva, temeljem Odluke Vlade Republike Hrvatske (KLASA: 342,01/07-01/03; URBROJ: 5030114¬07-1), od 15. lipnja 2007. godine, predalo u vlasništvo Dubrovačko-neretvanske, Šibensko-knins</w:t>
      </w:r>
      <w:r>
        <w:t>ke, Zadarske i Ličko- senjske, Primorsko-goranske te Splitsko-dalmatinske županije. Preostalih 5 plovila čistača mora su u naravi komercijalna specijalizirana plovila, čiju uslugu rada (čišćenja mora) županije ugovaraju u postupku javne nabave, a sufinanci</w:t>
      </w:r>
      <w:r>
        <w:t xml:space="preserve">raju se prema raspodjeli: u Istarskoj županiji održavanje 1 plovilo, u Primorsko-goranskoj županiji 2 plovila, u Splitsko-dalmatinskoj 1 plovilo, te u Dubrovačko-neretvanskoj županiji 1 plovilo. </w:t>
      </w:r>
    </w:p>
    <w:p w:rsidR="00895DD6" w:rsidRDefault="00F31687">
      <w:r>
        <w:t>Navedenom Odlukom utvrđeno je da se navedena financijska sre</w:t>
      </w:r>
      <w:r>
        <w:t>dstva od 2019. godine osiguravaju u okviru Razdjela Ministarstva mora, prometa i infrastrukture. Temeljem iste Odluke, Ministarstvo mora, prometa i infrastrukture sklopilo je s priobalnim županijama odgovarajuće ugovore kojima je uređeno sufinanciranje plo</w:t>
      </w:r>
      <w:r>
        <w:t xml:space="preserve">vila čistača mora, s ciljem osiguranja stalne pripravnosti brodova i brodica čistača mora za slučaj potrebe reagiranja po Planu intervencija kod iznenadnih onečišćenja mora na području unutarnjih morskih voda i teritorijalnog mora. </w:t>
      </w:r>
    </w:p>
    <w:p w:rsidR="00895DD6" w:rsidRDefault="00F31687">
      <w:r>
        <w:t>Temeljem navedenog, Min</w:t>
      </w:r>
      <w:r>
        <w:t>istarstvo mora, prometa i infrastrukture je i u 2025. godini izvršilo isplate financijskih sredstava svim priobalnim županijama na koje se odnosi predmetna Odluka Vlade, i to u iznosu od 30.526 EUR po plovilu čistaču mora, odnosno u ukupnom iznosu od 305.2</w:t>
      </w:r>
      <w:r>
        <w:t>62 EUR za cijelu mrežu plovila čistača mora.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Pravodobno reagiranje na iznenadna onečišćenja mora s pomorskih objekata te ograničavanje šteta u morskom okolišu i gospodarstvu, radi dostupnosti specijaliziranih plovila (brodova ili brodica) za provedbu mjera suzbijanja onečišćenja mora</w:t>
            </w:r>
          </w:p>
        </w:tc>
        <w:tc>
          <w:tcPr>
            <w:tcW w:w="2551" w:type="dxa"/>
          </w:tcPr>
          <w:p w:rsidR="00895DD6" w:rsidRDefault="00F31687">
            <w:pPr>
              <w:pStyle w:val="CellColumn"/>
              <w:jc w:val="left"/>
            </w:pPr>
            <w:r>
              <w:rPr>
                <w:rFonts w:cs="Times New Roman"/>
              </w:rPr>
              <w:t>Ugovaranje koriš</w:t>
            </w:r>
            <w:r>
              <w:rPr>
                <w:rFonts w:cs="Times New Roman"/>
              </w:rPr>
              <w:t>tenja deset (10) specijaliziranih brodova i brodica čistača mora s posadom i opremom za suzbijanje onečišćenja mora, radi provedbe Plana intervencija kod iznenadnih onečišćenja mora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10</w:t>
            </w:r>
          </w:p>
        </w:tc>
      </w:tr>
    </w:tbl>
    <w:p w:rsidR="00895DD6" w:rsidRDefault="00895DD6">
      <w:pPr>
        <w:jc w:val="left"/>
      </w:pPr>
    </w:p>
    <w:p w:rsidR="00895DD6" w:rsidRDefault="00F31687">
      <w:pPr>
        <w:pStyle w:val="Heading4"/>
      </w:pPr>
      <w:r>
        <w:t>A754065 UKLANJANJE PODRTINA I POTONULIH STVARI</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A754065-UKLANJANJE PODRTINA I POTONULIH STVARI</w:t>
            </w:r>
          </w:p>
        </w:tc>
        <w:tc>
          <w:tcPr>
            <w:tcW w:w="2041" w:type="dxa"/>
          </w:tcPr>
          <w:p w:rsidR="00895DD6" w:rsidRDefault="00F31687">
            <w:pPr>
              <w:pStyle w:val="CellColumn"/>
              <w:jc w:val="right"/>
            </w:pPr>
            <w:r>
              <w:rPr>
                <w:rFonts w:cs="Times New Roman"/>
              </w:rPr>
              <w:t>44.607</w:t>
            </w:r>
          </w:p>
        </w:tc>
        <w:tc>
          <w:tcPr>
            <w:tcW w:w="2041" w:type="dxa"/>
          </w:tcPr>
          <w:p w:rsidR="00895DD6" w:rsidRDefault="00F31687">
            <w:pPr>
              <w:pStyle w:val="CellColumn"/>
              <w:jc w:val="right"/>
            </w:pPr>
            <w:r>
              <w:rPr>
                <w:rFonts w:cs="Times New Roman"/>
              </w:rPr>
              <w:t>49.061</w:t>
            </w:r>
          </w:p>
        </w:tc>
        <w:tc>
          <w:tcPr>
            <w:tcW w:w="2041" w:type="dxa"/>
          </w:tcPr>
          <w:p w:rsidR="00895DD6" w:rsidRDefault="00F31687">
            <w:pPr>
              <w:pStyle w:val="CellColumn"/>
              <w:jc w:val="right"/>
            </w:pPr>
            <w:r>
              <w:rPr>
                <w:rFonts w:cs="Times New Roman"/>
              </w:rPr>
              <w:t>46.546</w:t>
            </w:r>
          </w:p>
        </w:tc>
        <w:tc>
          <w:tcPr>
            <w:tcW w:w="1224" w:type="dxa"/>
          </w:tcPr>
          <w:p w:rsidR="00895DD6" w:rsidRDefault="00F31687">
            <w:pPr>
              <w:pStyle w:val="CellColumn"/>
              <w:jc w:val="right"/>
            </w:pPr>
            <w:r>
              <w:rPr>
                <w:rFonts w:cs="Times New Roman"/>
              </w:rPr>
              <w:t>94,9</w:t>
            </w:r>
          </w:p>
        </w:tc>
        <w:tc>
          <w:tcPr>
            <w:tcW w:w="1224" w:type="dxa"/>
          </w:tcPr>
          <w:p w:rsidR="00895DD6" w:rsidRDefault="00F31687">
            <w:pPr>
              <w:pStyle w:val="CellColumn"/>
              <w:jc w:val="right"/>
            </w:pPr>
            <w:r>
              <w:rPr>
                <w:rFonts w:cs="Times New Roman"/>
              </w:rPr>
              <w:t>104,3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članak 840. n i 840. s  </w:t>
      </w:r>
    </w:p>
    <w:p w:rsidR="00895DD6" w:rsidRDefault="00F31687">
      <w:r>
        <w:t>- Plan intervencija kod iznenadnih onečišćenja mora</w:t>
      </w:r>
    </w:p>
    <w:p w:rsidR="00895DD6" w:rsidRDefault="00F31687">
      <w:pPr>
        <w:pStyle w:val="Heading8"/>
        <w:jc w:val="left"/>
      </w:pPr>
      <w:r>
        <w:t>Opis aktivnosti</w:t>
      </w:r>
    </w:p>
    <w:p w:rsidR="00895DD6" w:rsidRDefault="00F31687">
      <w:r>
        <w:t>Sredstva za provedbu ove aktivnosti namijenjena su financiranju vađenja podrtina i potonulih stvari koje se nalaze u teritorijalnom moru, unuta</w:t>
      </w:r>
      <w:r>
        <w:t>rnjim morskim vodama i na području isključivog gospodarskog pojasa Republike Hrvatske i epikontinentalnog pojasa Republike Hrvatske. Podrtine i potonule stvari predstavljaju izravnu prijetnju sigurnosti plovidbe te su ujedno i mogući izvor onečišćenja mors</w:t>
      </w:r>
      <w:r>
        <w:t xml:space="preserve">kog okoliša i priobalnog područja, koja mogu imati dalekosežne posljedice za sigurnost i zdravlje ljudi te morski okoliš.  </w:t>
      </w:r>
    </w:p>
    <w:p w:rsidR="00895DD6" w:rsidRDefault="00F31687">
      <w:r>
        <w:t>Pomorskim zakonikom utvrđeni su poslovi od javnog interesa koje u unutarnjim morskim vodama i teritorijalnom moru osigurava Republik</w:t>
      </w:r>
      <w:r>
        <w:t>a Hrvatska, između kojih su i poslovi uređivanja i održavanja plovnih putova..Poslove uređivanja i održavanja plovnih putova obavlja trgovačko društvo Plovput d.o.o., kao javnu ovlast. Tijelo ovlašteno za uklanjanje podrtine je trgovačko društvo Plovput d.</w:t>
      </w:r>
      <w:r>
        <w:t xml:space="preserve">o.o za podrtine koje se nalaze izvan lučkog područja, a sredstva za uklanjanje podrtina osigurava tijelo ovlašteno za uklanjanje, osim kada je riječ o trgovačkom društvu Plovput d.o.o., u kojem slučaju se sredstva osiguravaju u državnom proračunu. Isto ne </w:t>
      </w:r>
      <w:r>
        <w:t xml:space="preserve">utječe na odgovornost vlasnika za sve troškove vezane uz uklanjanje podrtina. </w:t>
      </w:r>
    </w:p>
    <w:p w:rsidR="00895DD6" w:rsidRDefault="00F31687">
      <w:r>
        <w:t xml:space="preserve">Tijelo ovlašteno za uklanjanje potonule stvari je trgovačko društvo Plovput d. o. o. za potonule stvari koje se nalaze izvan lučkog područja, a sredstva za uklanjanje osigurava </w:t>
      </w:r>
      <w:r>
        <w:t xml:space="preserve">tijelo ovlašteno za uklanjanje, osim kad je riječ o trgovačkom društvu Plovput d.o.o., u kojem slučaju se sredstva osiguravaju u državnom proračunu, što ne utječe na obvezu vlasnika da naknadi sve troškove u vezi s uklanjanjem za koje odgovara. </w:t>
      </w:r>
    </w:p>
    <w:p w:rsidR="00895DD6" w:rsidRDefault="00F31687">
      <w:r>
        <w:t>U 2025. go</w:t>
      </w:r>
      <w:r>
        <w:t>dini društvo Plovput d.o.o. uklonilo je dvije podrtine temeljem rješenja nadležnih lučkih kapetanija po hitnom postupku . Ostvarena vrijednost broja provedenih inspekcijskih rješenja o uklanjanju podrtina nije postignuta jer su uklonjene 2 podrtine temelje</w:t>
      </w:r>
      <w:r>
        <w:t>m rješenja lučkih kapetanija. Plovputu su iz Državnog proračuna nadoknađena financijska sredstva po osnovi troškova predmetnih uklanjanja. U 2025. godini izvršena je i refundacija sredstava Plovputu za čuvanje uklonjene podrtine do dovršetka postupka proda</w:t>
      </w:r>
      <w:r>
        <w:t>je iste na javnoj dražbi.</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provedenih inspekcijskih rješenja o uklanjanju podrtina i potonulih stvari koje predstavljaju zapreku i ugrozu za sigurnost plovidbe</w:t>
            </w:r>
          </w:p>
        </w:tc>
        <w:tc>
          <w:tcPr>
            <w:tcW w:w="2551" w:type="dxa"/>
          </w:tcPr>
          <w:p w:rsidR="00895DD6" w:rsidRDefault="00F31687">
            <w:pPr>
              <w:pStyle w:val="CellColumn"/>
              <w:jc w:val="left"/>
            </w:pPr>
            <w:r>
              <w:rPr>
                <w:rFonts w:cs="Times New Roman"/>
              </w:rPr>
              <w:t xml:space="preserve">Podizanje razine sigurnosti plovidbe plovnim putevima u unutarnjim morskim vodama, teritorijalnom moru i gospodarskom </w:t>
            </w:r>
            <w:r>
              <w:rPr>
                <w:rFonts w:cs="Times New Roman"/>
              </w:rPr>
              <w:t>pojasu Republike Hrvatske u podmorju</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5</w:t>
            </w:r>
          </w:p>
        </w:tc>
        <w:tc>
          <w:tcPr>
            <w:tcW w:w="1020" w:type="dxa"/>
          </w:tcPr>
          <w:p w:rsidR="00895DD6" w:rsidRDefault="00F31687">
            <w:pPr>
              <w:pStyle w:val="CellColumn"/>
              <w:jc w:val="right"/>
            </w:pPr>
            <w:r>
              <w:rPr>
                <w:rFonts w:cs="Times New Roman"/>
              </w:rPr>
              <w:t>2</w:t>
            </w:r>
          </w:p>
        </w:tc>
      </w:tr>
    </w:tbl>
    <w:p w:rsidR="00895DD6" w:rsidRDefault="00895DD6">
      <w:pPr>
        <w:jc w:val="left"/>
      </w:pPr>
    </w:p>
    <w:p w:rsidR="00895DD6" w:rsidRDefault="00F31687">
      <w:pPr>
        <w:pStyle w:val="Heading4"/>
      </w:pPr>
      <w:r>
        <w:t>K819082 CEF 2014.-2020. - RIS COMEX 2 - PRIMJENA RIS-a U UPRAVLJANJU PROMETNIM KORIDORIMA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K819082-CEF 2014.-2020. - RIS COMEX 2 - PRIMJENA RIS-a U UPRAVLJANJU PROMETNIM KORIDORIMA</w:t>
            </w:r>
          </w:p>
        </w:tc>
        <w:tc>
          <w:tcPr>
            <w:tcW w:w="2041" w:type="dxa"/>
          </w:tcPr>
          <w:p w:rsidR="00895DD6" w:rsidRDefault="00F31687">
            <w:pPr>
              <w:pStyle w:val="CellColumn"/>
              <w:jc w:val="right"/>
            </w:pPr>
            <w:r>
              <w:rPr>
                <w:rFonts w:cs="Times New Roman"/>
              </w:rPr>
              <w:t>213.150</w:t>
            </w:r>
          </w:p>
        </w:tc>
        <w:tc>
          <w:tcPr>
            <w:tcW w:w="2041" w:type="dxa"/>
          </w:tcPr>
          <w:p w:rsidR="00895DD6" w:rsidRDefault="00F31687">
            <w:pPr>
              <w:pStyle w:val="CellColumn"/>
              <w:jc w:val="right"/>
            </w:pPr>
            <w:r>
              <w:rPr>
                <w:rFonts w:cs="Times New Roman"/>
              </w:rPr>
              <w:t>1.462.900</w:t>
            </w:r>
          </w:p>
        </w:tc>
        <w:tc>
          <w:tcPr>
            <w:tcW w:w="2041" w:type="dxa"/>
          </w:tcPr>
          <w:p w:rsidR="00895DD6" w:rsidRDefault="00F31687">
            <w:pPr>
              <w:pStyle w:val="CellColumn"/>
              <w:jc w:val="right"/>
            </w:pPr>
            <w:r>
              <w:rPr>
                <w:rFonts w:cs="Times New Roman"/>
              </w:rPr>
              <w:t>30.207</w:t>
            </w:r>
          </w:p>
        </w:tc>
        <w:tc>
          <w:tcPr>
            <w:tcW w:w="1224" w:type="dxa"/>
          </w:tcPr>
          <w:p w:rsidR="00895DD6" w:rsidRDefault="00F31687">
            <w:pPr>
              <w:pStyle w:val="CellColumn"/>
              <w:jc w:val="right"/>
            </w:pPr>
            <w:r>
              <w:rPr>
                <w:rFonts w:cs="Times New Roman"/>
              </w:rPr>
              <w:t>2,1</w:t>
            </w:r>
          </w:p>
        </w:tc>
        <w:tc>
          <w:tcPr>
            <w:tcW w:w="1224" w:type="dxa"/>
          </w:tcPr>
          <w:p w:rsidR="00895DD6" w:rsidRDefault="00F31687">
            <w:pPr>
              <w:pStyle w:val="CellColumn"/>
              <w:jc w:val="right"/>
            </w:pPr>
            <w:r>
              <w:rPr>
                <w:rFonts w:cs="Times New Roman"/>
              </w:rPr>
              <w:t>14,2</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uspostavi institucionalnog okvira za provedbu europskih strukturnih i investicijskih fondova u Republici Hrvatskoj u financijskom razdoblju 2014.-2020., članak 4., stavak 2. </w:t>
      </w:r>
    </w:p>
    <w:p w:rsidR="00895DD6" w:rsidRDefault="00F31687">
      <w:r>
        <w:t>- Zakon o plovidbi i lukama unutarnjih voda, članak 113., stavak 2. i č</w:t>
      </w:r>
      <w:r>
        <w:t xml:space="preserve">lanak 172. </w:t>
      </w:r>
    </w:p>
    <w:p w:rsidR="00895DD6" w:rsidRDefault="00F31687">
      <w:r>
        <w:t xml:space="preserve">- Pravilnik o riječnim informacijskim servisima u unutarnjoj plovidbi </w:t>
      </w:r>
    </w:p>
    <w:p w:rsidR="00895DD6" w:rsidRDefault="00F31687">
      <w:r>
        <w:t>- Direktiva 2005/44/EZ (RIS direktiva).</w:t>
      </w:r>
    </w:p>
    <w:p w:rsidR="00895DD6" w:rsidRDefault="00F31687">
      <w:pPr>
        <w:pStyle w:val="Heading8"/>
        <w:jc w:val="left"/>
      </w:pPr>
      <w:r>
        <w:t>Opis aktivnosti</w:t>
      </w:r>
    </w:p>
    <w:p w:rsidR="00895DD6" w:rsidRDefault="00F31687">
      <w:r>
        <w:t>RIS COMEX 2 je višekorisnički projekt u kojem je Ministarstvo mora, prometa i infrastrukture u ime RH jedan od 15 projektnih partnera pod koordinacijom Austrijske vodne uprave Viadonau sa zajedničkim ciljem ostvarivanja funkcionalnosti usluga na definirani</w:t>
      </w:r>
      <w:r>
        <w:t xml:space="preserve">m RIS koridorima.  </w:t>
      </w:r>
    </w:p>
    <w:p w:rsidR="00895DD6" w:rsidRDefault="00F31687">
      <w:r>
        <w:t xml:space="preserve">Ukupna vrijednost projekta svih dionika je 38.935.240 EUR, a komponenta RH iznosi 2.200.000 EUR.  </w:t>
      </w:r>
    </w:p>
    <w:p w:rsidR="00895DD6" w:rsidRDefault="00F31687">
      <w:r>
        <w:t xml:space="preserve">Aktivnosti koje su predviđene tijekom provedbe projekta odnose se na:  </w:t>
      </w:r>
    </w:p>
    <w:p w:rsidR="00895DD6" w:rsidRDefault="00F31687">
      <w:r>
        <w:t>- primjenu jedinstvenog aplikacijskog sučelja prema CEERIS i EuRI</w:t>
      </w:r>
      <w:r>
        <w:t xml:space="preserve">S bazama podataka kojim će uz izravan pristup javnim i privatnim korisnicima biti omogućeno korištenje svih razina RIS usluga na jednom mjestu  </w:t>
      </w:r>
    </w:p>
    <w:p w:rsidR="00895DD6" w:rsidRDefault="00F31687">
      <w:r>
        <w:t>- nadogradnju nacionale WEB AIS aplikacije novim korisničkim mogućnostima koje se odnose na prometnu signalizac</w:t>
      </w:r>
      <w:r>
        <w:t xml:space="preserve">iju (AtoN), omogućavanje samostalnog uređivanja navigacijskih karata (ENC), prikaz dubina u realnom vremenu, prikaz visina ispod mostova u realnom vremenu te ažuriranje baze kodova za objekte na unutarnjim vodnim putovima (RIS index)  </w:t>
      </w:r>
    </w:p>
    <w:p w:rsidR="00895DD6" w:rsidRDefault="00F31687">
      <w:r>
        <w:t>- Obnova RIS infrast</w:t>
      </w:r>
      <w:r>
        <w:t xml:space="preserve">rukture kojom će biti omogućena bolja stabilnost i pouzdanost sustava  </w:t>
      </w:r>
    </w:p>
    <w:p w:rsidR="00895DD6" w:rsidRDefault="00F31687">
      <w:r>
        <w:t xml:space="preserve">- Nabava korisničkih radnih stanica za potrebe regionalnih RIS centara.  </w:t>
      </w:r>
    </w:p>
    <w:p w:rsidR="00895DD6" w:rsidRDefault="00F31687">
      <w:r>
        <w:t xml:space="preserve">Specifični ciljevi projekta:  </w:t>
      </w:r>
    </w:p>
    <w:p w:rsidR="00895DD6" w:rsidRDefault="00F31687">
      <w:r>
        <w:lastRenderedPageBreak/>
        <w:t xml:space="preserve">- Bolje planiranje prijevoza unutarnjim plovnim putovima (povećana pouzdanost) </w:t>
      </w:r>
      <w:r>
        <w:t xml:space="preserve"> </w:t>
      </w:r>
    </w:p>
    <w:p w:rsidR="00895DD6" w:rsidRDefault="00F31687">
      <w:r>
        <w:t xml:space="preserve">- Smanjenje vremena čekanja i putovanja  </w:t>
      </w:r>
    </w:p>
    <w:p w:rsidR="00895DD6" w:rsidRDefault="00F31687">
      <w:r>
        <w:t xml:space="preserve">- Povećanje učinkovitosti u prometu unutarnjim plovnim putovima  </w:t>
      </w:r>
    </w:p>
    <w:p w:rsidR="00895DD6" w:rsidRDefault="00F31687">
      <w:r>
        <w:t xml:space="preserve">- Optimalna uporaba infrastrukture (povećana iskoristivost kapaciteta)  </w:t>
      </w:r>
    </w:p>
    <w:p w:rsidR="00895DD6" w:rsidRDefault="00F31687">
      <w:r>
        <w:t xml:space="preserve">- Smanjenje administrativnih prepreka  </w:t>
      </w:r>
    </w:p>
    <w:p w:rsidR="00895DD6" w:rsidRDefault="00F31687">
      <w:r>
        <w:t>- Obnovljena RIS infrastrukture n</w:t>
      </w:r>
      <w:r>
        <w:t xml:space="preserve">a području RH  </w:t>
      </w:r>
    </w:p>
    <w:p w:rsidR="00895DD6" w:rsidRDefault="00F31687">
      <w:r>
        <w:t xml:space="preserve">- Puštanje u rad korisničkih radnih stanica za potrebe regionalnih RIS centara  </w:t>
      </w:r>
    </w:p>
    <w:p w:rsidR="00895DD6" w:rsidRDefault="00F31687">
      <w:r>
        <w:t xml:space="preserve">- Uspostava cjelovitog govornog VHF-a na unutarnjim vodnim putovima u RH.  </w:t>
      </w:r>
    </w:p>
    <w:p w:rsidR="00895DD6" w:rsidRDefault="00F31687">
      <w:r>
        <w:t>Iznos od 30.207 EUR utrošen je na nabavku dvogodišnje licence za korištenje elektroničkih navigacijskih karata (ENC) u iznosu od 21.367,50 EUR te na uvećanje koeficijenta plaća za članove projektnog tima u iznosu 8.839,50 EUR.</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w:t>
            </w:r>
            <w:r>
              <w: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Stupanj implementacije rezultata RIS-a</w:t>
            </w:r>
          </w:p>
        </w:tc>
        <w:tc>
          <w:tcPr>
            <w:tcW w:w="2551" w:type="dxa"/>
          </w:tcPr>
          <w:p w:rsidR="00895DD6" w:rsidRDefault="00F31687">
            <w:pPr>
              <w:pStyle w:val="CellColumn"/>
              <w:jc w:val="left"/>
            </w:pPr>
            <w:r>
              <w:rPr>
                <w:rFonts w:cs="Times New Roman"/>
              </w:rPr>
              <w:t>Međunarodna implementacija i uporaba RIS-a na ključnim prometnim koridorima unutarnje plovid</w:t>
            </w:r>
            <w:r>
              <w:rPr>
                <w:rFonts w:cs="Times New Roman"/>
              </w:rPr>
              <w:t>be</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25</w:t>
            </w:r>
          </w:p>
        </w:tc>
        <w:tc>
          <w:tcPr>
            <w:tcW w:w="1020" w:type="dxa"/>
          </w:tcPr>
          <w:p w:rsidR="00895DD6" w:rsidRDefault="00F31687">
            <w:pPr>
              <w:pStyle w:val="CellColumn"/>
              <w:jc w:val="right"/>
            </w:pPr>
            <w:r>
              <w:rPr>
                <w:rFonts w:cs="Times New Roman"/>
              </w:rPr>
              <w:t>25</w:t>
            </w:r>
          </w:p>
        </w:tc>
      </w:tr>
    </w:tbl>
    <w:p w:rsidR="00895DD6" w:rsidRDefault="00895DD6">
      <w:pPr>
        <w:jc w:val="left"/>
      </w:pPr>
    </w:p>
    <w:p w:rsidR="00895DD6" w:rsidRDefault="00F31687">
      <w:pPr>
        <w:pStyle w:val="Heading4"/>
      </w:pPr>
      <w:r>
        <w:t>K819083 KIBERNETIČKA SIGURNOST U HRVATSKOM POMORSKOM PROMETU- CYSCROMS</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K819083-KIBERNETIČKA SIGURNOST U HRVATSKOM POMORSKOM PROMETU- CYSCROMS</w:t>
            </w:r>
          </w:p>
        </w:tc>
        <w:tc>
          <w:tcPr>
            <w:tcW w:w="2041" w:type="dxa"/>
          </w:tcPr>
          <w:p w:rsidR="00895DD6" w:rsidRDefault="00F31687">
            <w:pPr>
              <w:pStyle w:val="CellColumn"/>
              <w:jc w:val="right"/>
            </w:pPr>
            <w:r>
              <w:rPr>
                <w:rFonts w:cs="Times New Roman"/>
              </w:rPr>
              <w:t>1.222.743</w:t>
            </w:r>
          </w:p>
        </w:tc>
        <w:tc>
          <w:tcPr>
            <w:tcW w:w="2041" w:type="dxa"/>
          </w:tcPr>
          <w:p w:rsidR="00895DD6" w:rsidRDefault="00F31687">
            <w:pPr>
              <w:pStyle w:val="CellColumn"/>
              <w:jc w:val="right"/>
            </w:pPr>
            <w:r>
              <w:rPr>
                <w:rFonts w:cs="Times New Roman"/>
              </w:rPr>
              <w:t>241.607</w:t>
            </w:r>
          </w:p>
        </w:tc>
        <w:tc>
          <w:tcPr>
            <w:tcW w:w="2041" w:type="dxa"/>
          </w:tcPr>
          <w:p w:rsidR="00895DD6" w:rsidRDefault="00F31687">
            <w:pPr>
              <w:pStyle w:val="CellColumn"/>
              <w:jc w:val="right"/>
            </w:pPr>
            <w:r>
              <w:rPr>
                <w:rFonts w:cs="Times New Roman"/>
              </w:rPr>
              <w:t>227.794</w:t>
            </w:r>
          </w:p>
        </w:tc>
        <w:tc>
          <w:tcPr>
            <w:tcW w:w="1224" w:type="dxa"/>
          </w:tcPr>
          <w:p w:rsidR="00895DD6" w:rsidRDefault="00F31687">
            <w:pPr>
              <w:pStyle w:val="CellColumn"/>
              <w:jc w:val="right"/>
            </w:pPr>
            <w:r>
              <w:rPr>
                <w:rFonts w:cs="Times New Roman"/>
              </w:rPr>
              <w:t>94,3</w:t>
            </w:r>
          </w:p>
        </w:tc>
        <w:tc>
          <w:tcPr>
            <w:tcW w:w="1224" w:type="dxa"/>
          </w:tcPr>
          <w:p w:rsidR="00895DD6" w:rsidRDefault="00F31687">
            <w:pPr>
              <w:pStyle w:val="CellColumn"/>
              <w:jc w:val="right"/>
            </w:pPr>
            <w:r>
              <w:rPr>
                <w:rFonts w:cs="Times New Roman"/>
              </w:rPr>
              <w:t>18,6</w:t>
            </w:r>
          </w:p>
        </w:tc>
      </w:tr>
    </w:tbl>
    <w:p w:rsidR="00895DD6" w:rsidRDefault="00895DD6">
      <w:pPr>
        <w:jc w:val="left"/>
      </w:pPr>
    </w:p>
    <w:p w:rsidR="00895DD6" w:rsidRDefault="00F31687">
      <w:pPr>
        <w:pStyle w:val="Heading8"/>
        <w:jc w:val="left"/>
      </w:pPr>
      <w:r>
        <w:t>Zakonske i druge pravne osnove</w:t>
      </w:r>
    </w:p>
    <w:p w:rsidR="00895DD6" w:rsidRDefault="00F31687">
      <w:r>
        <w:t>- Direktiva (EU) 2016/1148 Europskog parlamenta i Vijeća od 6. srpnja 2016. o mjerama za visoku zajedničku razinu si</w:t>
      </w:r>
      <w:r>
        <w:t xml:space="preserve">gurnosti mrežnih i informacijskih sustava širom Unije (Direktiva NIS) </w:t>
      </w:r>
    </w:p>
    <w:p w:rsidR="00895DD6" w:rsidRDefault="00F31687">
      <w:r>
        <w:t>- Direktiva (EU) 2022/2555 Europskog parlamenta i Vijeća od 14. prosinca 2022. o mjerama za visoku zajedničku razinu kibernetičke sigurnosti širom Unije, izmjeni Uredbe (EU) br. 910/2014 i Direktive (EU) 2018/1972 i stavljanju izvan snage Direktive (EU) 20</w:t>
      </w:r>
      <w:r>
        <w:t xml:space="preserve">16/1148 (Direktiva NIS 2) </w:t>
      </w:r>
    </w:p>
    <w:p w:rsidR="00895DD6" w:rsidRDefault="00F31687">
      <w:r>
        <w:t xml:space="preserve">- Zakon o kibernetičkoj sigurnosti operatora ključnih usluga i davatelja digitalnih usluga </w:t>
      </w:r>
    </w:p>
    <w:p w:rsidR="00895DD6" w:rsidRDefault="00F31687">
      <w:r>
        <w:t>- Uredba o kibernetičkoj sigurnosti operatora ključnih usluga i davatelja digitalnih usluga</w:t>
      </w:r>
    </w:p>
    <w:p w:rsidR="00895DD6" w:rsidRDefault="00F31687">
      <w:pPr>
        <w:pStyle w:val="Heading8"/>
        <w:jc w:val="left"/>
      </w:pPr>
      <w:r>
        <w:t>Opis aktivnosti</w:t>
      </w:r>
    </w:p>
    <w:p w:rsidR="00895DD6" w:rsidRDefault="00F31687">
      <w:r>
        <w:t xml:space="preserve">Ministarstvo mora, prometa i </w:t>
      </w:r>
      <w:r>
        <w:t>infrastrukture osnovalo je konzorcij, zajedno s lučkim upravama Zadar, Split, Ploče i Dubrovnik, te Jadrolinijom i Plovputom, radi potrebe za podizanjem razine kibernetičke sigurnosti u pomorskom prometu s ciljem provedbe Projekta CYSCROMS - Cyber Safety i</w:t>
      </w:r>
      <w:r>
        <w:t xml:space="preserve">n Croatian maritime Transport Sector, temeljem </w:t>
      </w:r>
      <w:r>
        <w:lastRenderedPageBreak/>
        <w:t>poziva DIGITAL-ECCC-2022-CYBER-03, pri čemu je Ministarstvo mora, prometa i infrastrukture vodeći projektni partner, odnosno koordinator Projekta. Projekt CYSCROMS započeo je 1. listopada 2023. godine, a traja</w:t>
      </w:r>
      <w:r>
        <w:t xml:space="preserve">t će 36 mjeseci, odnosno do 30. rujna 2026. godine  </w:t>
      </w:r>
    </w:p>
    <w:p w:rsidR="00895DD6" w:rsidRDefault="00F31687">
      <w:r>
        <w:t>Cilj projekta je osigurati visoku razinu usklađenosti identificiranih operatora ključnih usluga sa zahtjevima iz Direktive NIS, odnosno s Direktivom NIS 2 koja ju nasljeđuje kao odgovor EU na rastuće pri</w:t>
      </w:r>
      <w:r>
        <w:t xml:space="preserve">jetnje u kibernetičkom prostoru i veće zahtjeve za poduzimanjem mjera kibernetičke sigurnosti.  </w:t>
      </w:r>
    </w:p>
    <w:p w:rsidR="00895DD6" w:rsidRDefault="00F31687">
      <w:r>
        <w:t>Ukupna vrijednost projekta CYSCROMS iznosi 5.101.672,56 EUR. Stopa dodjele EU doprinosa iznosi 50%. Iznos sufinanciranja, koji će temeljem ovog Projekta ukupno</w:t>
      </w:r>
      <w:r>
        <w:t xml:space="preserve"> primiti Ministarstvo mora, prometa i infrastrukture, iznosi 334.246,52 EUR, a isti je i iznos nacionalnog sufinanciranja.  </w:t>
      </w:r>
    </w:p>
    <w:p w:rsidR="00895DD6" w:rsidRDefault="00F31687">
      <w:r>
        <w:t>U 2025. godini provedene su projektne aktivnosti sukladno projektnom planu, u dijelu koji se odnosi na ovo Ministarstvo, kao vodeće</w:t>
      </w:r>
      <w:r>
        <w:t>g projektnog partnera. Financijska sredstva u ukupnom iznosu od 32.864 EUR utrošena su za plaće članova projektnog tima te pripadajuće doprinose za obvezno zdravstveno osiguranje. Tijekom 2025. godine realizirane su planirane edukacije osoblja Ministarstva</w:t>
      </w:r>
      <w:r>
        <w:t xml:space="preserve"> te studijski posjeti članova projektnog tima lukama Antwerp-Bruges i Gdanjsk, za što je također utrošeno ukupno 11.233 EUR. Za potrebe izrade tehničkih isporučevina projekta, kao i za troškove tehničkog vođenja projekta, u 2025. godini ukupno je utrošeno </w:t>
      </w:r>
      <w:r>
        <w:t xml:space="preserve">118.900 EUR. Sukladno Ugovoru o sufinanciranju projekta Cyscroms, projektnim partnerima su izvršene doznake EU sredstva sukladno financijskim sredstvima koje je ovo Ministarstvo zaprimilo temeljem među-uplate (interim payment).  </w:t>
      </w:r>
    </w:p>
    <w:p w:rsidR="00895DD6" w:rsidRDefault="00F31687">
      <w:r>
        <w:t>Ostvarena vrijednost je ni</w:t>
      </w:r>
      <w:r>
        <w:t>ža od planirane jer je aktivnost nabavke promotivnog materijala pokrenuta krajem 2025. godine, a izvršena je početkom 2026. godine.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Podizanje razine kibernetičke sigurnosti operatora ključnih usluga u pomorskom prometu</w:t>
            </w:r>
          </w:p>
        </w:tc>
        <w:tc>
          <w:tcPr>
            <w:tcW w:w="2551" w:type="dxa"/>
          </w:tcPr>
          <w:p w:rsidR="00895DD6" w:rsidRDefault="00F31687">
            <w:pPr>
              <w:pStyle w:val="CellColumn"/>
              <w:jc w:val="left"/>
            </w:pPr>
            <w:r>
              <w:rPr>
                <w:rFonts w:cs="Times New Roman"/>
              </w:rPr>
              <w:t>Postizanje višeg stupnja kibernetičke sigurnosti operatora ključnih usluga u podsektoru vodni prijevoz kroz osiguranje usklađenosti sa zahtjevima iz Direktive NIS2</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15</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65</w:t>
            </w:r>
          </w:p>
        </w:tc>
        <w:tc>
          <w:tcPr>
            <w:tcW w:w="1020" w:type="dxa"/>
          </w:tcPr>
          <w:p w:rsidR="00895DD6" w:rsidRDefault="00F31687">
            <w:pPr>
              <w:pStyle w:val="CellColumn"/>
              <w:jc w:val="right"/>
            </w:pPr>
            <w:r>
              <w:rPr>
                <w:rFonts w:cs="Times New Roman"/>
              </w:rPr>
              <w:t>60</w:t>
            </w:r>
          </w:p>
        </w:tc>
      </w:tr>
    </w:tbl>
    <w:p w:rsidR="00895DD6" w:rsidRDefault="00895DD6">
      <w:pPr>
        <w:jc w:val="left"/>
      </w:pPr>
    </w:p>
    <w:p w:rsidR="00895DD6" w:rsidRDefault="00F31687">
      <w:pPr>
        <w:pStyle w:val="Heading4"/>
      </w:pPr>
      <w:r>
        <w:t>K820078 OBNOVA SAR FLOTE LUČKIH KAPETANIJA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K820078-OBNOVA SAR FLOTE LUČKIH KAPETANIJA</w:t>
            </w:r>
          </w:p>
        </w:tc>
        <w:tc>
          <w:tcPr>
            <w:tcW w:w="2041" w:type="dxa"/>
          </w:tcPr>
          <w:p w:rsidR="00895DD6" w:rsidRDefault="00F31687">
            <w:pPr>
              <w:pStyle w:val="CellColumn"/>
              <w:jc w:val="right"/>
            </w:pPr>
            <w:r>
              <w:rPr>
                <w:rFonts w:cs="Times New Roman"/>
              </w:rPr>
              <w:t>4.478.231</w:t>
            </w:r>
          </w:p>
        </w:tc>
        <w:tc>
          <w:tcPr>
            <w:tcW w:w="2041" w:type="dxa"/>
          </w:tcPr>
          <w:p w:rsidR="00895DD6" w:rsidRDefault="00F31687">
            <w:pPr>
              <w:pStyle w:val="CellColumn"/>
              <w:jc w:val="right"/>
            </w:pPr>
            <w:r>
              <w:rPr>
                <w:rFonts w:cs="Times New Roman"/>
              </w:rPr>
              <w:t>7.652.200</w:t>
            </w:r>
          </w:p>
        </w:tc>
        <w:tc>
          <w:tcPr>
            <w:tcW w:w="2041" w:type="dxa"/>
          </w:tcPr>
          <w:p w:rsidR="00895DD6" w:rsidRDefault="00F31687">
            <w:pPr>
              <w:pStyle w:val="CellColumn"/>
              <w:jc w:val="right"/>
            </w:pPr>
            <w:r>
              <w:rPr>
                <w:rFonts w:cs="Times New Roman"/>
              </w:rPr>
              <w:t>7.652.189</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170,9</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članci 50., 165. i 176. a </w:t>
      </w:r>
    </w:p>
    <w:p w:rsidR="00895DD6" w:rsidRDefault="00F31687">
      <w:r>
        <w:t>- Zakon o lučkim kapetanijama, članak 8.</w:t>
      </w:r>
    </w:p>
    <w:p w:rsidR="00895DD6" w:rsidRDefault="00F31687">
      <w:pPr>
        <w:pStyle w:val="Heading8"/>
        <w:jc w:val="left"/>
      </w:pPr>
      <w:r>
        <w:t>Opis aktivnosti</w:t>
      </w:r>
    </w:p>
    <w:p w:rsidR="00895DD6" w:rsidRDefault="00F31687">
      <w:r>
        <w:t>Služba traganja i spašavanja (SAR, Search and Rescue) na moru trenutno raspolaže s ukupno 34 plovila, odnosno 4 broda i 30 brodica koje su zastarjele, p</w:t>
      </w:r>
      <w:r>
        <w:t>rosječne starosti veće od 20 godina, različitih tehničko-tehnoloških značajki i raznolike razine opremljenosti, uključujući i raznoliku i nedostatnu razinu opremljenosti sredstvima za spašavanje. Većina postojećih plovila nije pogodna za djelovanje u nepov</w:t>
      </w:r>
      <w:r>
        <w:t xml:space="preserve">oljnim vremenskim uvjetima kakvi vladaju na Jadranu,  niti u noćnim uvjetima. Iz tog razloga je planirana obnova čitave flote u periodu od 6 godina sa sljedećim plovilima:  </w:t>
      </w:r>
    </w:p>
    <w:p w:rsidR="00895DD6" w:rsidRDefault="00F31687">
      <w:r>
        <w:lastRenderedPageBreak/>
        <w:t xml:space="preserve">- 9 gumenih brodica sa staklo plastičnim dnom duljine trupa 9 metara   </w:t>
      </w:r>
    </w:p>
    <w:p w:rsidR="00895DD6" w:rsidRDefault="00F31687">
      <w:r>
        <w:t>- 15 stakl</w:t>
      </w:r>
      <w:r>
        <w:t xml:space="preserve">o plastičnih brodica duljine do 10 metara  </w:t>
      </w:r>
    </w:p>
    <w:p w:rsidR="00895DD6" w:rsidRDefault="00F31687">
      <w:r>
        <w:t xml:space="preserve">- 7 aluminijskih brodica duljine do 15 metara;   </w:t>
      </w:r>
    </w:p>
    <w:p w:rsidR="00895DD6" w:rsidRDefault="00F31687">
      <w:r>
        <w:t xml:space="preserve">- 1 broda duljine između 35 i 45 metara, uz procijenjenu vrijednost po sadašnjim cijenama nabave jednog novog broda koja iznosi oko 32.000.000 EUR bez PDV-a    </w:t>
      </w:r>
    </w:p>
    <w:p w:rsidR="00895DD6" w:rsidRDefault="00F31687">
      <w:r>
        <w:t>T</w:t>
      </w:r>
      <w:r>
        <w:t xml:space="preserve">ijekom 2025. godine utrošeno je ukupno 7.652.189 EUR za nabavku slijedećih brodica:  </w:t>
      </w:r>
    </w:p>
    <w:p w:rsidR="00895DD6" w:rsidRDefault="00F31687">
      <w:r>
        <w:t xml:space="preserve">- 2 aluminijske brodice duljine do 15 metara ukupne vrijednosti 3.514.085 EUR   </w:t>
      </w:r>
    </w:p>
    <w:p w:rsidR="00895DD6" w:rsidRDefault="00F31687">
      <w:r>
        <w:t xml:space="preserve">- 5 stakloplastičnih brodica duljine 10 metara ukupne vrijednosti 3.650.625 EUR  </w:t>
      </w:r>
    </w:p>
    <w:p w:rsidR="00895DD6" w:rsidRDefault="00F31687">
      <w:r>
        <w:t xml:space="preserve">- 3 gumene brodice sa stakloplastičnim dnom ukupne vrijednosti 487.479 EUR  </w:t>
      </w:r>
    </w:p>
    <w:p w:rsidR="00895DD6" w:rsidRDefault="00F31687">
      <w:r>
        <w:t>Nabavkom ovih plovila bitno će se unaprijediti služba sigurnosti plovidbe i zaštite mora od onečišćenja. Uvođenjem novih plovila flota će biti bitno boljih maritimnih sposobnosti,</w:t>
      </w:r>
      <w:r>
        <w:t xml:space="preserve"> smanjit će se prosječna starost flote kao i područje koje će pokrivati svako pojedeno plovilo, uz reakciju na događaj u okviru „zlatnog sata“ u unutarnjim morskim vodama i teritorijalnom moru pri svim vremenskim uvjetima.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 xml:space="preserve">Pokazatelj </w:t>
            </w:r>
            <w:r>
              <w:t>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Smanjenje prosječne starosti i unifikacija flote lučkih kapetanija</w:t>
            </w:r>
          </w:p>
        </w:tc>
        <w:tc>
          <w:tcPr>
            <w:tcW w:w="2551" w:type="dxa"/>
          </w:tcPr>
          <w:p w:rsidR="00895DD6" w:rsidRDefault="00F31687">
            <w:pPr>
              <w:pStyle w:val="CellColumn"/>
              <w:jc w:val="left"/>
            </w:pPr>
            <w:r>
              <w:rPr>
                <w:rFonts w:cs="Times New Roman"/>
              </w:rPr>
              <w:t>Nabavom 34 nova plovila, te zamjenom plovila starijih od 10 godina smanjuje se prosječna starost plovila, povećava njihova i sigurnost djelatnika lučkih kapetanija i ispostava lučkih kapetanija</w:t>
            </w:r>
          </w:p>
        </w:tc>
        <w:tc>
          <w:tcPr>
            <w:tcW w:w="1020" w:type="dxa"/>
          </w:tcPr>
          <w:p w:rsidR="00895DD6" w:rsidRDefault="00F31687">
            <w:pPr>
              <w:pStyle w:val="CellColumn"/>
              <w:jc w:val="right"/>
            </w:pPr>
            <w:r>
              <w:rPr>
                <w:rFonts w:cs="Times New Roman"/>
              </w:rPr>
              <w:t>Prosječna starost flote</w:t>
            </w:r>
          </w:p>
        </w:tc>
        <w:tc>
          <w:tcPr>
            <w:tcW w:w="1020" w:type="dxa"/>
          </w:tcPr>
          <w:p w:rsidR="00895DD6" w:rsidRDefault="00F31687">
            <w:pPr>
              <w:pStyle w:val="CellColumn"/>
              <w:jc w:val="right"/>
            </w:pPr>
            <w:r>
              <w:rPr>
                <w:rFonts w:cs="Times New Roman"/>
              </w:rPr>
              <w:t>18</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10</w:t>
            </w:r>
          </w:p>
        </w:tc>
      </w:tr>
    </w:tbl>
    <w:p w:rsidR="00895DD6" w:rsidRDefault="00895DD6">
      <w:pPr>
        <w:jc w:val="left"/>
      </w:pPr>
    </w:p>
    <w:p w:rsidR="00895DD6" w:rsidRDefault="00F31687">
      <w:pPr>
        <w:pStyle w:val="Heading4"/>
      </w:pPr>
      <w:r>
        <w:t>K820084 MODERNIZACIJA I ODRŽAVANJE FLOTE TRGOVAČKOG DRUŠTVA PLOVPUT D.O.O.</w:t>
      </w:r>
    </w:p>
    <w:tbl>
      <w:tblPr>
        <w:tblStyle w:val="StilTablice"/>
        <w:tblW w:w="10206" w:type="dxa"/>
        <w:jc w:val="center"/>
        <w:tblLook w:val="04A0" w:firstRow="1" w:lastRow="0" w:firstColumn="1" w:lastColumn="0" w:noHBand="0" w:noVBand="1"/>
      </w:tblPr>
      <w:tblGrid>
        <w:gridCol w:w="1738"/>
        <w:gridCol w:w="2009"/>
        <w:gridCol w:w="2011"/>
        <w:gridCol w:w="2011"/>
        <w:gridCol w:w="1217"/>
        <w:gridCol w:w="1220"/>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K820084-MODERNIZACIJA I ODRŽAVANJE FLOT</w:t>
            </w:r>
            <w:r>
              <w:rPr>
                <w:rFonts w:cs="Times New Roman"/>
              </w:rPr>
              <w:t>E TRGOVAČKOG DRUŠTVA PLOVPUT D.O.O.</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1.396.585</w:t>
            </w:r>
          </w:p>
        </w:tc>
        <w:tc>
          <w:tcPr>
            <w:tcW w:w="2041" w:type="dxa"/>
          </w:tcPr>
          <w:p w:rsidR="00895DD6" w:rsidRDefault="00F31687">
            <w:pPr>
              <w:pStyle w:val="CellColumn"/>
              <w:jc w:val="right"/>
            </w:pPr>
            <w:r>
              <w:rPr>
                <w:rFonts w:cs="Times New Roman"/>
              </w:rPr>
              <w:t>1.394.636</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Zakon o Plovputu, čl. 6., st. 2.</w:t>
      </w:r>
    </w:p>
    <w:p w:rsidR="00895DD6" w:rsidRDefault="00F31687">
      <w:pPr>
        <w:pStyle w:val="Heading8"/>
        <w:jc w:val="left"/>
      </w:pPr>
      <w:r>
        <w:t>Opis aktivnosti</w:t>
      </w:r>
    </w:p>
    <w:p w:rsidR="00895DD6" w:rsidRDefault="00F31687">
      <w:r>
        <w:t>Svoje javne ovlasti i aktivnosti trgovačko društvo Plovput izvršava sa ukupno 7 aluminijskih brodica te 4 radna broda, od koji su 2 broda-betonare. Brze brodice raspoređene su u 7 plovnih područja duž Jadrana i namjenski su izgrađene za održavanje objekata</w:t>
      </w:r>
      <w:r>
        <w:t xml:space="preserve"> pomorske signalizacije, a koriste se i za obavljanje drugih zakonom propisanih ovlasti, koje su ključne za održavanje razine sigurnosti plovidbe na morskim putovima Republike Hrvatske. Izgradnja navedenih brzih brodica odvijala se sukcesivno, u razdoblju </w:t>
      </w:r>
      <w:r>
        <w:t xml:space="preserve">od 1998. do 2004. godine, uzimajući u obzir da je očekivani vijek trajanja brodice izgrađene od aluminija 20 godina. Većina brodica iz flote Plovputa premašila je navedeni vremenski </w:t>
      </w:r>
      <w:r>
        <w:lastRenderedPageBreak/>
        <w:t>period. Većina od navedenih brodica ima i značajan broj radnih sati pogons</w:t>
      </w:r>
      <w:r>
        <w:t>kih strojeva, što rezultira iznimno visokim financijskim izdacima za održavanje na godišnjoj razini. Zbog zastarjelosti tehnologije pogonskih strojeva te otežane nabave rezervnih dijelova, ni nakon generalnih remonata motora, brodice nisu na očekivanoj raz</w:t>
      </w:r>
      <w:r>
        <w:t>ini pouzdanosti za obavljanje poslova za koje su namijenjeni. Vodeći se ciljem što kvalitetnijeg održavanja razine sigurnosti plovidbe na moru te uzimajući u obzir navedene tehničke probleme, kao jedino (privremeno) rješenje nameće se nabava i ugradnja pot</w:t>
      </w:r>
      <w:r>
        <w:t>puno novih pogonskih strojeva, što rezultira velikim financijskim troškovima, a upitna je i isplativost ovakve vrste ulaganja u stare i dotrajale radne brodove. Slična situacija je i s radnim brodovima, od kojih su dva broda drvene gradnje, stara 38, odnos</w:t>
      </w:r>
      <w:r>
        <w:t xml:space="preserve">no 72 godinu (m/b „Saida“ i m/b „Svilaja“).  </w:t>
      </w:r>
    </w:p>
    <w:p w:rsidR="00895DD6" w:rsidRDefault="00F31687">
      <w:r>
        <w:t>Modernizacija flote Plovputa je prioritet, kako bi se godišnji planovi izgradnje i održavanja objekata pomorske signalizacije mogli uspješno realizirati, što je u izravnoj korelaciji s razinom sigurnosti plovid</w:t>
      </w:r>
      <w:r>
        <w:t xml:space="preserve">be na Jadranu. Cilj je kontinuirano održavati zavidnu razinu sigurnosti plovidbe na morskih plovnim putovima Republike Hrvatske.   </w:t>
      </w:r>
    </w:p>
    <w:p w:rsidR="00895DD6" w:rsidRDefault="00F31687">
      <w:r>
        <w:t>Sukladno Zakonu o Plovputu, u slučaju nedostatka vlastitih sredstava za financiranje većih investicija u obavljanju djelatno</w:t>
      </w:r>
      <w:r>
        <w:t xml:space="preserve">sti, sredstva se osiguravaju u državnom proračunu. S tim u vezi, a radi osiguravanja tehničkih uvjeta za održavanje i uređenje plovnih putova u unutarnjim morskim vodama i teritorijalnom moru Republike Hrvatske te postavljanja objekata sigurnosti plovidbe </w:t>
      </w:r>
      <w:r>
        <w:t>na morskim plovnim putovima Republike Hrvatske, a koje poslove Plovput d.o.o. provodi kao javnu ovlast, te radi osiguravanja tehničkih uvjeta za vađenje i uklanjanje podrtina i potonulih stvari koje Plovput d.o.o.,  u 2025. godini pristupilo se modernizaci</w:t>
      </w:r>
      <w:r>
        <w:t>ji flote društva Plovput d.o.o. te je u istoj godini dovršena izgradnja jedne brze brodice Plovputa koja je financirana sredstavima državnog proračuna, u ukupnom iznosu od 1.394.635,93  EUR. U narednom razdoblju, sukladno mogućnostima, pristupiti će se dal</w:t>
      </w:r>
      <w:r>
        <w:t>jnjim poslovima modernizacije flote i objekata sigurnosti plovidbe Plovputa.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Flota trgovačkog društva Plovput d.o.o. modernizirana</w:t>
            </w:r>
          </w:p>
        </w:tc>
        <w:tc>
          <w:tcPr>
            <w:tcW w:w="2551" w:type="dxa"/>
          </w:tcPr>
          <w:p w:rsidR="00895DD6" w:rsidRDefault="00F31687">
            <w:pPr>
              <w:pStyle w:val="CellColumn"/>
              <w:jc w:val="left"/>
            </w:pPr>
            <w:r>
              <w:rPr>
                <w:rFonts w:cs="Times New Roman"/>
              </w:rPr>
              <w:t>nabavom 2 broda radionice (1 za pliće more i 1 za otvoreno more), 5 brodica za plovna područja te bespilotne ronilice rezultirat će dugoročno povećanom sigurnosti pomorskog prometa, povećanom efikasnošć</w:t>
            </w:r>
            <w:r>
              <w:rPr>
                <w:rFonts w:cs="Times New Roman"/>
              </w:rPr>
              <w:t>u sustava postavljanja i održavanja objekata sigurnosti plovidbe kao i zaštite morskog okoliša uklanjanjem podrtina i potonulih stvari</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 xml:space="preserve">MMPI, </w:t>
            </w:r>
          </w:p>
          <w:p w:rsidR="00895DD6" w:rsidRDefault="00F31687">
            <w:pPr>
              <w:pStyle w:val="CellColumn"/>
              <w:jc w:val="right"/>
            </w:pPr>
            <w:r>
              <w:rPr>
                <w:rFonts w:cs="Times New Roman"/>
              </w:rPr>
              <w:t>Plovput d.o.o.</w:t>
            </w:r>
          </w:p>
        </w:tc>
        <w:tc>
          <w:tcPr>
            <w:tcW w:w="1020" w:type="dxa"/>
          </w:tcPr>
          <w:p w:rsidR="00895DD6" w:rsidRDefault="00F31687">
            <w:pPr>
              <w:pStyle w:val="CellColumn"/>
              <w:jc w:val="right"/>
            </w:pPr>
            <w:r>
              <w:rPr>
                <w:rFonts w:cs="Times New Roman"/>
              </w:rPr>
              <w:t>15</w:t>
            </w:r>
          </w:p>
        </w:tc>
        <w:tc>
          <w:tcPr>
            <w:tcW w:w="1020" w:type="dxa"/>
          </w:tcPr>
          <w:p w:rsidR="00895DD6" w:rsidRDefault="00F31687">
            <w:pPr>
              <w:pStyle w:val="CellColumn"/>
              <w:jc w:val="right"/>
            </w:pPr>
            <w:r>
              <w:rPr>
                <w:rFonts w:cs="Times New Roman"/>
              </w:rPr>
              <w:t>15</w:t>
            </w:r>
          </w:p>
        </w:tc>
      </w:tr>
    </w:tbl>
    <w:p w:rsidR="00895DD6" w:rsidRDefault="00895DD6">
      <w:pPr>
        <w:jc w:val="left"/>
      </w:pPr>
    </w:p>
    <w:p w:rsidR="00895DD6" w:rsidRDefault="00F31687">
      <w:pPr>
        <w:pStyle w:val="Heading4"/>
      </w:pPr>
      <w:r>
        <w:t>T810059 NACIONALNI SUSTAV ZA SUZBIJANJE ONEČIŠĆENJA MORA VELIKIH RAZMJERA - EAS HR</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T810059-NACIONALNI SUSTAV ZA SUZBIJANJE ONEČIŠĆENJA MORA VELIKIH RAZMJERA - EAS HR</w:t>
            </w:r>
          </w:p>
        </w:tc>
        <w:tc>
          <w:tcPr>
            <w:tcW w:w="2041" w:type="dxa"/>
          </w:tcPr>
          <w:p w:rsidR="00895DD6" w:rsidRDefault="00F31687">
            <w:pPr>
              <w:pStyle w:val="CellColumn"/>
              <w:jc w:val="right"/>
            </w:pPr>
            <w:r>
              <w:rPr>
                <w:rFonts w:cs="Times New Roman"/>
              </w:rPr>
              <w:t>1.241.780</w:t>
            </w:r>
          </w:p>
        </w:tc>
        <w:tc>
          <w:tcPr>
            <w:tcW w:w="2041" w:type="dxa"/>
          </w:tcPr>
          <w:p w:rsidR="00895DD6" w:rsidRDefault="00F31687">
            <w:pPr>
              <w:pStyle w:val="CellColumn"/>
              <w:jc w:val="right"/>
            </w:pPr>
            <w:r>
              <w:rPr>
                <w:rFonts w:cs="Times New Roman"/>
              </w:rPr>
              <w:t>57.025</w:t>
            </w:r>
          </w:p>
        </w:tc>
        <w:tc>
          <w:tcPr>
            <w:tcW w:w="2041" w:type="dxa"/>
          </w:tcPr>
          <w:p w:rsidR="00895DD6" w:rsidRDefault="00F31687">
            <w:pPr>
              <w:pStyle w:val="CellColumn"/>
              <w:jc w:val="right"/>
            </w:pPr>
            <w:r>
              <w:rPr>
                <w:rFonts w:cs="Times New Roman"/>
              </w:rPr>
              <w:t>56.874</w:t>
            </w:r>
          </w:p>
        </w:tc>
        <w:tc>
          <w:tcPr>
            <w:tcW w:w="1224" w:type="dxa"/>
          </w:tcPr>
          <w:p w:rsidR="00895DD6" w:rsidRDefault="00F31687">
            <w:pPr>
              <w:pStyle w:val="CellColumn"/>
              <w:jc w:val="right"/>
            </w:pPr>
            <w:r>
              <w:rPr>
                <w:rFonts w:cs="Times New Roman"/>
              </w:rPr>
              <w:t>99,7</w:t>
            </w:r>
          </w:p>
        </w:tc>
        <w:tc>
          <w:tcPr>
            <w:tcW w:w="1224" w:type="dxa"/>
          </w:tcPr>
          <w:p w:rsidR="00895DD6" w:rsidRDefault="00F31687">
            <w:pPr>
              <w:pStyle w:val="CellColumn"/>
              <w:jc w:val="right"/>
            </w:pPr>
            <w:r>
              <w:rPr>
                <w:rFonts w:cs="Times New Roman"/>
              </w:rPr>
              <w:t>4,6</w:t>
            </w:r>
          </w:p>
        </w:tc>
      </w:tr>
    </w:tbl>
    <w:p w:rsidR="00895DD6" w:rsidRDefault="00895DD6">
      <w:pPr>
        <w:jc w:val="left"/>
      </w:pPr>
    </w:p>
    <w:p w:rsidR="00895DD6" w:rsidRDefault="00F31687">
      <w:pPr>
        <w:pStyle w:val="Heading8"/>
        <w:jc w:val="left"/>
      </w:pPr>
      <w:r>
        <w:lastRenderedPageBreak/>
        <w:t>Zakonske i druge pravne osnove</w:t>
      </w:r>
    </w:p>
    <w:p w:rsidR="00895DD6" w:rsidRDefault="00F31687">
      <w:r>
        <w:t xml:space="preserve">- Pomorski zakonik, članak 49. h, članak 55.f i članak 55.h </w:t>
      </w:r>
    </w:p>
    <w:p w:rsidR="00895DD6" w:rsidRDefault="00F31687">
      <w:r>
        <w:t>- Plan intervencija kod iznenadnih onečišćenja mora, točke 31., 35., 40. i 108.</w:t>
      </w:r>
    </w:p>
    <w:p w:rsidR="00895DD6" w:rsidRDefault="00F31687">
      <w:pPr>
        <w:pStyle w:val="Heading8"/>
        <w:jc w:val="left"/>
      </w:pPr>
      <w:r>
        <w:t>Opis aktivnosti</w:t>
      </w:r>
    </w:p>
    <w:p w:rsidR="00895DD6" w:rsidRDefault="00F31687">
      <w:r>
        <w:t>Uzimajući u obzir  da se u hrvatskim lukama godišnje prosječno</w:t>
      </w:r>
      <w:r>
        <w:t xml:space="preserve"> pretovari oko 23 milijuna tona tereta, od čega se gotovo 50 % odnosi na opasni teret te da se  ostvari prijevoz više od 19 milijuna putnika godišnje, kao i da se na području epikontinentalnog pojasa Republike Hrvatske nalaze tri eksploatacijska polja uglj</w:t>
      </w:r>
      <w:r>
        <w:t xml:space="preserve">ikovodika, postoji značajna opasnost od pomorskih nesreća koje mogu prouzročiti iznenadna onečišćenja morskog okoliša.  </w:t>
      </w:r>
    </w:p>
    <w:p w:rsidR="00895DD6" w:rsidRDefault="00F31687">
      <w:r>
        <w:t>Tijekom 2025. godine Ministarstvo je pripremilo tehničku dokumentaciju te je koncem iste godine objavljen postupak javne nabave s cilje</w:t>
      </w:r>
      <w:r>
        <w:t>m sklapanja okvirnih sporazuma s više gospodarskih subjekata za nabavu opreme za reagiranje na iznenadna onečišćenja mora, s rokom trajanja od dvije godine. Po dovršetku postupka javne nabave, predvidivo koncem prvog kvartala 2026. godine, pristupiti će se</w:t>
      </w:r>
      <w:r>
        <w:t xml:space="preserve"> sklapanju ugovora o nabavi opreme za reagiranje na iznenadna onečišćenja mora, koja će biti uskladištena u drugi EAS-HR sustav smješten u području grada Pule, a čije se cjelovito opremanje planira dovršiti do konca 2027. godine. Radi učinkovite provedbe P</w:t>
      </w:r>
      <w:r>
        <w:t>lana intervencija kod iznenadnih onečišćenja mora, Ministarstvo je u 2025. godini nastavilo provoditi specijalizirane edukacije osoblja koje sudjeluje u njegovoj provedbi. U 2025. je održana specijalizirana edukacija osoblja Nacionalnog centra sigurnosti p</w:t>
      </w:r>
      <w:r>
        <w:t>lovidbe, sukladno IMO standardu te edukacija o primjeni međunarodnih pravnih režima, kojima je uređeno područje odgovornosti i naknade štete uslijed pomorskih nesreća s posljedicom iznenadnih onečišćenja mora, a u kojoj su uz predstavnike ovog Ministarstva</w:t>
      </w:r>
      <w:r>
        <w:t xml:space="preserve"> sudjelovali i predstavnici Ministarstva obrane, Ministarstva financija, Ministarstva zaštite okoliša i zelene tranzicije, županijskih operativnih centara za provedbu županijskih planova intervencija, Državnog odvjetništva RH, predstavnici društva Plovput </w:t>
      </w:r>
      <w:r>
        <w:t>d.o.o., te domaće tvrtke koje se bave čišćenjem mora. Financijska sredstva utrošena su i na redoviti servis EAS opreme uskladištene u EAS-HR sustav u Splitu te za podmirenje troška police osiguranja iste opreme.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w:t>
            </w:r>
            <w:r>
              <w:rPr>
                <w:rFonts w:cs="Times New Roman"/>
              </w:rPr>
              <w:t>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Uspostava 3 EAS-HR centra na području priobalnih županija, opremljenih specijaliziranom opremom (brane, skimmeri, ostala oprema) za provedbu mjera suzbijanja onečišćenja mora velikih razmjera, te ograničavanja šteta u morskom okolišu i gospodarstvu</w:t>
            </w:r>
          </w:p>
        </w:tc>
        <w:tc>
          <w:tcPr>
            <w:tcW w:w="2551" w:type="dxa"/>
          </w:tcPr>
          <w:p w:rsidR="00895DD6" w:rsidRDefault="00F31687">
            <w:pPr>
              <w:pStyle w:val="CellColumn"/>
              <w:jc w:val="left"/>
            </w:pPr>
            <w:r>
              <w:rPr>
                <w:rFonts w:cs="Times New Roman"/>
              </w:rPr>
              <w:t>Primjer</w:t>
            </w:r>
            <w:r>
              <w:rPr>
                <w:rFonts w:cs="Times New Roman"/>
              </w:rPr>
              <w:t xml:space="preserve">eni odgovor na iznenadna onečišćenja odnosno učinkovito reagiranje po Planu intervencija kod iznenadnih onečišćenja mora i Subregionalnom planu intervencija za sprječavanje, spremnost za i reagiranje na iznenadna onečišćenja Jadranskog mora većih razmjera </w:t>
            </w:r>
            <w:r>
              <w:rPr>
                <w:rFonts w:cs="Times New Roman"/>
              </w:rPr>
              <w:t>s pomorskih objekata, radi dostupnosti specijalizirane opreme za provedbu intervencija u slučaju onečišćenja mora velikih razmjera, razmještene u logističke centre duž Jadranske obale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1,5</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T820083 MEHANIZAM ZAŠTITE OSJETLJIVIH PODRUČJA JADRANA (ASAP)</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T820083-MEHANIZAM ZAŠTITE OSJETLJIVIH PODRUČJA JADRA</w:t>
            </w:r>
            <w:r>
              <w:rPr>
                <w:rFonts w:cs="Times New Roman"/>
              </w:rPr>
              <w:t>NA (ASAP)</w:t>
            </w:r>
          </w:p>
        </w:tc>
        <w:tc>
          <w:tcPr>
            <w:tcW w:w="2041" w:type="dxa"/>
          </w:tcPr>
          <w:p w:rsidR="00895DD6" w:rsidRDefault="00F31687">
            <w:pPr>
              <w:pStyle w:val="CellColumn"/>
              <w:jc w:val="right"/>
            </w:pPr>
            <w:r>
              <w:rPr>
                <w:rFonts w:cs="Times New Roman"/>
              </w:rPr>
              <w:t>10.800</w:t>
            </w:r>
          </w:p>
        </w:tc>
        <w:tc>
          <w:tcPr>
            <w:tcW w:w="2041" w:type="dxa"/>
          </w:tcPr>
          <w:p w:rsidR="00895DD6" w:rsidRDefault="00F31687">
            <w:pPr>
              <w:pStyle w:val="CellColumn"/>
              <w:jc w:val="right"/>
            </w:pPr>
            <w:r>
              <w:rPr>
                <w:rFonts w:cs="Times New Roman"/>
              </w:rPr>
              <w:t>144.880</w:t>
            </w:r>
          </w:p>
        </w:tc>
        <w:tc>
          <w:tcPr>
            <w:tcW w:w="2041" w:type="dxa"/>
          </w:tcPr>
          <w:p w:rsidR="00895DD6" w:rsidRDefault="00F31687">
            <w:pPr>
              <w:pStyle w:val="CellColumn"/>
              <w:jc w:val="right"/>
            </w:pPr>
            <w:r>
              <w:rPr>
                <w:rFonts w:cs="Times New Roman"/>
              </w:rPr>
              <w:t>108.258</w:t>
            </w:r>
          </w:p>
        </w:tc>
        <w:tc>
          <w:tcPr>
            <w:tcW w:w="1224" w:type="dxa"/>
          </w:tcPr>
          <w:p w:rsidR="00895DD6" w:rsidRDefault="00F31687">
            <w:pPr>
              <w:pStyle w:val="CellColumn"/>
              <w:jc w:val="right"/>
            </w:pPr>
            <w:r>
              <w:rPr>
                <w:rFonts w:cs="Times New Roman"/>
              </w:rPr>
              <w:t>74,7</w:t>
            </w:r>
          </w:p>
        </w:tc>
        <w:tc>
          <w:tcPr>
            <w:tcW w:w="1224" w:type="dxa"/>
          </w:tcPr>
          <w:p w:rsidR="00895DD6" w:rsidRDefault="00F31687">
            <w:pPr>
              <w:pStyle w:val="CellColumn"/>
              <w:jc w:val="right"/>
            </w:pPr>
            <w:r>
              <w:rPr>
                <w:rFonts w:cs="Times New Roman"/>
              </w:rPr>
              <w:t>1002,4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Pomorski zakonik, članak 55.f i članak 55.h </w:t>
      </w:r>
    </w:p>
    <w:p w:rsidR="00895DD6" w:rsidRDefault="00F31687">
      <w:r>
        <w:t>- Plan intervencija kod iznenadnih onečišćenja mora, točke 36. i 102.</w:t>
      </w:r>
    </w:p>
    <w:p w:rsidR="00895DD6" w:rsidRDefault="00F31687">
      <w:pPr>
        <w:pStyle w:val="Heading8"/>
        <w:jc w:val="left"/>
      </w:pPr>
      <w:r>
        <w:t>Opis aktivnosti</w:t>
      </w:r>
    </w:p>
    <w:p w:rsidR="00895DD6" w:rsidRDefault="00F31687">
      <w:r>
        <w:t>Ministarstvo mora, prometa i infrastrukture kao projektni partner, u suradnji s Central European Initiative, Italijom kao vodećim partnerom, te ostalim partnerima (National Institute of Oceanography and Applied Geophysics – OGS, Italija; University of Ljub</w:t>
      </w:r>
      <w:r>
        <w:t>ljana, Faculty of Maritime Studies of Portorož, Slovenija; Adriatic Training and Research Centre, Hrvatska; Slovenian Maritime Administration; Faculty of Traffic and Communications, University of Sarajevo, Bosna i Hercegovina; Ministry of Infrastructure an</w:t>
      </w:r>
      <w:r>
        <w:t xml:space="preserve">d Energy of Albania te NGO Our Action, Crna Gora), sudjeluje u provedbi projekta „IPA-ADRION00103 – Adriatic Sensitive Areas Protection – mechanism – ASAP“, koji je sufinanciran iz Interreg VI-B IPA Adriatic Ionian Programa (IPA ADRION).  </w:t>
      </w:r>
    </w:p>
    <w:p w:rsidR="00895DD6" w:rsidRDefault="00F31687">
      <w:r>
        <w:t>Projekt je započ</w:t>
      </w:r>
      <w:r>
        <w:t xml:space="preserve">eo 1. rujna 2024. godine, a trajati će 30 mjeseci. Ukupni proračun projekta iznosi 1.413.387,70 EUR (od čega EU sufinanciranje 85%; nacionalno sufinanciranje 15%). Ukupni proračun Ministarstva mora, prometa i infrastrukture za provedu ovog projekta iznosi </w:t>
      </w:r>
      <w:r>
        <w:t xml:space="preserve">221.438,60 EUR, a nacionalno sufinanciranje iznosi 33.215,79 EUR. </w:t>
      </w:r>
    </w:p>
    <w:p w:rsidR="00895DD6" w:rsidRDefault="00F31687">
      <w:r>
        <w:t>Projekt ASAP ima za cilj pružiti jadranskim zemljama koordinacijsku platformu za uspostavu mehanizma provedbe prekograničnog odgovora u slučaju iznenadnih onečišćenja mora, a radi zaštite m</w:t>
      </w:r>
      <w:r>
        <w:t>orskog okoliša, osjetljivih područja, zdravlja građana, te zaštite gospodarskih djelatnosti koje su od vitalnog značaja za dobrobit u Jadranskom moru. U okviru projektnih aktivnosti izraditi će se Standardne operativne procedure (SOP) za provedbu žurnih in</w:t>
      </w:r>
      <w:r>
        <w:t>tervencija, a provedbom specijaliziranih treninga osoblja koje sudjeluje u reagiranju kod iznenadnih onečišćenja mora, kao i provedbom vježbi na obali i moru, dodatno će se ojačati njihove kompetencije i sposobnosti. U okviru projekta predviđeno je i potpi</w:t>
      </w:r>
      <w:r>
        <w:t xml:space="preserve">sivanje Memoranduma o razumijevanju o implementaciji ASAP okvira.  </w:t>
      </w:r>
    </w:p>
    <w:p w:rsidR="00895DD6" w:rsidRDefault="00F31687">
      <w:r>
        <w:t>U okviru projektnih aktivnosti u 2025. godine financijska sredstva utrošena su za plaće, ostale rahode za zaposlene i doprinose za obvezno zdravstveno osiguranje članova projektnog tima, z</w:t>
      </w:r>
      <w:r>
        <w:t>a službena putovanja radi sudjelovanja na sastancima projektnog upravljačkog tima i treningu Oil i HNS Spill Simulation u Portorožu, kao i za nabavu projektnih promo materijala (roll-up, letci, USB, i dr.). U okviru Višenamjenskih pomorskih operacija (Mult</w:t>
      </w:r>
      <w:r>
        <w:t>ipurpose Maritime Operation) ADRIA 2025, dana 1. i 2. listopada 2025. godine, u akvatoriju ispred Dubrovnika, uspješno je održana međunarodna vježba traganja, spašavanja i suzbijanja iznenadnog onečišćenja mora ADRIATIC SEA SARex / POLex / COMex 2025, u ko</w:t>
      </w:r>
      <w:r>
        <w:t>joj je sudjelovalo više od 300 predstavnika nacionalnih i međunarodnih institucija, agencija i organizacija, a čiji je POLex dio financiran iz projekta ASAP. U vježbi su, uz ovo Ministarstvo, sudjelovali Ministarstvo unutarnjih poslova, Ministarstvo obrane</w:t>
      </w:r>
      <w:r>
        <w:t>, Hrvatska vatrogasna zajednica, tvrtke Plovput, Cian i Dezinsekcija, Obalna straža Talijanske Republike, Ministarstvo infrastrukture Republike Slovenije – Uprava za pomorstvo, Europska agencija za pomorsku sigurnost (EMSA), Europska agencija za kontrolu r</w:t>
      </w:r>
      <w:r>
        <w:t>ibarstva (EFCA), Agencija za europsku graničnu i obalnu stražu (FRONTEX), kao i projektni partneri ASAP projekta iz Italije, Slovenije, Hrvatske, Bosne i Hercegovine i Crne Gore. Predmetna vježba obuhvatila je različite rizike s ciljem testiranja spremnost</w:t>
      </w:r>
      <w:r>
        <w:t>i za najteže pomorske scenarije, a osobito testiranje koordinacije nadležnih pomorskih tijela u stvarnim uvjetima, procjenu učinkovitosti komunikacijskih kanala i situacijske svijesti, te evaluaciju procedura postupanja i praktičnu obuku u razmjeni informa</w:t>
      </w:r>
      <w:r>
        <w:t>cija putem nove europske mreže CISE. Ova složena međunarodna vježba potvrdila je visoku razinu EU agencijske i regionalne suradnje, doprinijela unaprjeđenju učinkovitosti operacija traganja i spašavanja te reagiranja na iznenadna onečišćenja mora, kao i po</w:t>
      </w:r>
      <w:r>
        <w:t>dizanju spremnosti za zajedničko djelovanje u kriznim situacijama na Jadranskom moru.</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Podizanje razine sustava reagiranja na iznenadna onečišćenja mora s pomorskih objekata u sjevernom Jadranu</w:t>
            </w:r>
          </w:p>
        </w:tc>
        <w:tc>
          <w:tcPr>
            <w:tcW w:w="2551" w:type="dxa"/>
          </w:tcPr>
          <w:p w:rsidR="00895DD6" w:rsidRDefault="00F31687">
            <w:pPr>
              <w:pStyle w:val="CellColumn"/>
              <w:jc w:val="left"/>
            </w:pPr>
            <w:r>
              <w:rPr>
                <w:rFonts w:cs="Times New Roman"/>
              </w:rPr>
              <w:t>Primjereni odgovor na iznenadna onečišćenja odnosno učinkovito reagiranje po Planu intervencija kod iznenadnih onečišćenja mora i Subregionalnom plan</w:t>
            </w:r>
            <w:r>
              <w:rPr>
                <w:rFonts w:cs="Times New Roman"/>
              </w:rPr>
              <w:t>u intervencija za sprječavanje, spremnost za i reagiranje na iznenadna onečišćenja Jadranskog mora većih razmjera s pomorskih objekata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40</w:t>
            </w:r>
          </w:p>
        </w:tc>
        <w:tc>
          <w:tcPr>
            <w:tcW w:w="1020" w:type="dxa"/>
          </w:tcPr>
          <w:p w:rsidR="00895DD6" w:rsidRDefault="00F31687">
            <w:pPr>
              <w:pStyle w:val="CellColumn"/>
              <w:jc w:val="right"/>
            </w:pPr>
            <w:r>
              <w:rPr>
                <w:rFonts w:cs="Times New Roman"/>
              </w:rPr>
              <w:t>40</w:t>
            </w:r>
          </w:p>
        </w:tc>
      </w:tr>
    </w:tbl>
    <w:p w:rsidR="00895DD6" w:rsidRDefault="00895DD6">
      <w:pPr>
        <w:jc w:val="left"/>
      </w:pPr>
    </w:p>
    <w:p w:rsidR="00895DD6" w:rsidRDefault="00F31687">
      <w:pPr>
        <w:pStyle w:val="Heading3"/>
      </w:pPr>
      <w:r>
        <w:rPr>
          <w:rFonts w:cs="Times New Roman"/>
        </w:rPr>
        <w:t>3110 IZGRADNJA I ODRŽAVANJE CESTOVNE INFRASTRUKTURE</w:t>
      </w:r>
    </w:p>
    <w:tbl>
      <w:tblPr>
        <w:tblStyle w:val="StilTablice"/>
        <w:tblW w:w="10206" w:type="dxa"/>
        <w:jc w:val="center"/>
        <w:tblLook w:val="04A0" w:firstRow="1" w:lastRow="0" w:firstColumn="1" w:lastColumn="0" w:noHBand="0" w:noVBand="1"/>
      </w:tblPr>
      <w:tblGrid>
        <w:gridCol w:w="1893"/>
        <w:gridCol w:w="1966"/>
        <w:gridCol w:w="1966"/>
        <w:gridCol w:w="1966"/>
        <w:gridCol w:w="1203"/>
        <w:gridCol w:w="1212"/>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3110-IZGRADNJA I ODRŽAVANJE CESTOVNE INFRASTRUKTURE</w:t>
            </w:r>
          </w:p>
        </w:tc>
        <w:tc>
          <w:tcPr>
            <w:tcW w:w="2041" w:type="dxa"/>
          </w:tcPr>
          <w:p w:rsidR="00895DD6" w:rsidRDefault="00F31687">
            <w:pPr>
              <w:pStyle w:val="CellColumn"/>
              <w:jc w:val="right"/>
            </w:pPr>
            <w:r>
              <w:rPr>
                <w:rFonts w:cs="Times New Roman"/>
              </w:rPr>
              <w:t>459.460.001</w:t>
            </w:r>
          </w:p>
        </w:tc>
        <w:tc>
          <w:tcPr>
            <w:tcW w:w="2041" w:type="dxa"/>
          </w:tcPr>
          <w:p w:rsidR="00895DD6" w:rsidRDefault="00F31687">
            <w:pPr>
              <w:pStyle w:val="CellColumn"/>
              <w:jc w:val="right"/>
            </w:pPr>
            <w:r>
              <w:rPr>
                <w:rFonts w:cs="Times New Roman"/>
              </w:rPr>
              <w:t>444.152.536</w:t>
            </w:r>
          </w:p>
        </w:tc>
        <w:tc>
          <w:tcPr>
            <w:tcW w:w="2041" w:type="dxa"/>
          </w:tcPr>
          <w:p w:rsidR="00895DD6" w:rsidRDefault="00F31687">
            <w:pPr>
              <w:pStyle w:val="CellColumn"/>
              <w:jc w:val="right"/>
            </w:pPr>
            <w:r>
              <w:rPr>
                <w:rFonts w:cs="Times New Roman"/>
              </w:rPr>
              <w:t>443.785.818</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96,6</w:t>
            </w:r>
          </w:p>
        </w:tc>
      </w:tr>
    </w:tbl>
    <w:p w:rsidR="00895DD6" w:rsidRDefault="00895DD6">
      <w:pPr>
        <w:jc w:val="left"/>
      </w:pPr>
    </w:p>
    <w:p w:rsidR="00895DD6" w:rsidRDefault="00F31687">
      <w:pPr>
        <w:pStyle w:val="Heading8"/>
        <w:jc w:val="left"/>
      </w:pPr>
      <w:r>
        <w:t>Cilj 1. Razvijen sustav cestovnog prometa</w:t>
      </w:r>
    </w:p>
    <w:p w:rsidR="00895DD6" w:rsidRDefault="00F31687">
      <w:pPr>
        <w:pStyle w:val="Heading8"/>
        <w:jc w:val="left"/>
      </w:pPr>
      <w:r>
        <w:t>Opis provedbe cilja programa</w:t>
      </w:r>
    </w:p>
    <w:p w:rsidR="00895DD6" w:rsidRDefault="00F31687">
      <w:r>
        <w:t>Programom se osigurava financiranje građenja i održavanja javnih cesta u Republici Hrvatskoj i to temeljem naknade koja se isplaćuje iz trošarine na energente upraviteljima Hrvatske ceste d.o.o. i Hrvatske autoceste d.o.o. te temeljem Ugovora o koncesiji s</w:t>
      </w:r>
      <w:r>
        <w:t xml:space="preserve"> koncesionarima Autocesta Zagreb-Macelj d.o.o. i Bina Istra d.d..    </w:t>
      </w:r>
    </w:p>
    <w:p w:rsidR="00895DD6" w:rsidRDefault="00F31687">
      <w:r>
        <w:t>Izvori sredstava za financiranje javnih cesta su: godišnja naknada za uporabu javnih cesta, koja se plaća pri registraciji motornih i priključnih vozila, cestarina za uporabu autoceste i</w:t>
      </w:r>
      <w:r>
        <w:t xml:space="preserve"> objekta s naplatom (most, tunel, vijadukt i slično), naknada za uporabu javnih cesta motornim i priključnim vozilima registriranim izvan Republike Hrvatske, naknada za izvanredni prijevoz, naknada za prekomjernu uporabu, korisnička naknada, naknada za kor</w:t>
      </w:r>
      <w:r>
        <w:t xml:space="preserve">ištenje cestovnog zemljišta, naknada za obavljanje pratećih djelatnosti, naknada za koncesije, sredstva državnog proračuna, naknada za financiranje građenja i održavanja javnih cesta, naknada za osnivanje prava služnosti i prava građenja na javnoj cesti i </w:t>
      </w:r>
      <w:r>
        <w:t xml:space="preserve">ostali izvori.   </w:t>
      </w:r>
    </w:p>
    <w:p w:rsidR="00895DD6" w:rsidRDefault="00F31687">
      <w:r>
        <w:t>Koncesijskim ugovorom između Republike Hrvatske i društva Autocesta Zagreb-Macelj d.o.o., društvu se nadoknađuje plaćeni PDV-a na cestarinu na vozila za prolazak koncesijskim područjem, naknada u iznosu 56% do punog iznosa cestarine za I.</w:t>
      </w:r>
      <w:r>
        <w:t>, II., III. i IV. skupinu vozila koja prometuju na dionici Mokrice-Krapina te Garancija za pad prometa tzv. TSCA doprinos, koji se izračunava kao manjak u odnosu na prognozu za godinu »n« (forecasting shortfall) + manjak za izjednačavanje za godinu »n-1« (</w:t>
      </w:r>
      <w:r>
        <w:t xml:space="preserve">balancing shortfall), a ta sredstva imaju tretman kredita te  ista, koncesijsko društvo Autocesta Zagreb-Macelj d.o.o., vraća na račun Državnog proračuna s kamatom od 6% godišnje, nakon što se ostvare ugovoreni uvjeti za povrat kredita.  </w:t>
      </w:r>
    </w:p>
    <w:p w:rsidR="00895DD6" w:rsidRDefault="00F31687">
      <w:r>
        <w:t>Koncesijskim ugov</w:t>
      </w:r>
      <w:r>
        <w:t xml:space="preserve">orom između Republike Hrvatske i društva Bina Istra d.d., društvu se nadoknađuje financijski doprinos koji predstavlja razliku između predviđenih prihoda od cestarine i troškova definiranih Ugovorom o koncesiji.   </w:t>
      </w:r>
    </w:p>
    <w:p w:rsidR="00895DD6" w:rsidRDefault="00F31687">
      <w:r>
        <w:t>Programom se osigurava i ostvarivanje pra</w:t>
      </w:r>
      <w:r>
        <w:t>va na mobilnost i jednaku dostupnost sredstava prijevoza u cestovnom prometu osobama s invaliditetom, propisanih člankom 7. Zakona o povlasticama u prometu. Osobe s invaliditetom koje imaju određeni stupanj tjelesnog oštećenja, ostvaruju pravo na oslobađan</w:t>
      </w:r>
      <w:r>
        <w:t>je plaćanja godišnje naknade za uporabu javnih cesta koja se plaća pri registraciji osobnog automobila i/ili pravo na oslobađanje plaćanja cestarine za uporabu autocesta i objekata s naplatom (most, tunel, vijadukt i sl.).</w:t>
      </w:r>
    </w:p>
    <w:p w:rsidR="00895DD6" w:rsidRDefault="00F31687">
      <w:pPr>
        <w:pStyle w:val="Heading8"/>
        <w:jc w:val="left"/>
      </w:pPr>
      <w:r>
        <w:lastRenderedPageBreak/>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w:t>
            </w:r>
            <w:r>
              <w:t>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Smanjenje udjela cesta s lošim i vrlo lošim stanjem kolnika</w:t>
            </w:r>
          </w:p>
        </w:tc>
        <w:tc>
          <w:tcPr>
            <w:tcW w:w="2551" w:type="dxa"/>
          </w:tcPr>
          <w:p w:rsidR="00895DD6" w:rsidRDefault="00F31687">
            <w:pPr>
              <w:pStyle w:val="CellColumn"/>
              <w:jc w:val="left"/>
            </w:pPr>
            <w:r>
              <w:rPr>
                <w:rFonts w:cs="Times New Roman"/>
              </w:rPr>
              <w:t>Smanjenjem udjela cesta s lošim i vrlo lošim stanjem kolnika povećava se sigurnost i kvaliteta u odvijanju cestovnog prometa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26</w:t>
            </w:r>
          </w:p>
        </w:tc>
        <w:tc>
          <w:tcPr>
            <w:tcW w:w="1020" w:type="dxa"/>
          </w:tcPr>
          <w:p w:rsidR="00895DD6" w:rsidRDefault="00F31687">
            <w:pPr>
              <w:pStyle w:val="CellColumn"/>
              <w:jc w:val="right"/>
            </w:pPr>
            <w:r>
              <w:rPr>
                <w:rFonts w:cs="Times New Roman"/>
              </w:rPr>
              <w:t>Hrvatske ceste d.o.o.</w:t>
            </w:r>
          </w:p>
        </w:tc>
        <w:tc>
          <w:tcPr>
            <w:tcW w:w="1020" w:type="dxa"/>
          </w:tcPr>
          <w:p w:rsidR="00895DD6" w:rsidRDefault="00F31687">
            <w:pPr>
              <w:pStyle w:val="CellColumn"/>
              <w:jc w:val="right"/>
            </w:pPr>
            <w:r>
              <w:rPr>
                <w:rFonts w:cs="Times New Roman"/>
              </w:rPr>
              <w:t>26</w:t>
            </w:r>
          </w:p>
        </w:tc>
        <w:tc>
          <w:tcPr>
            <w:tcW w:w="1020" w:type="dxa"/>
          </w:tcPr>
          <w:p w:rsidR="00895DD6" w:rsidRDefault="00F31687">
            <w:pPr>
              <w:pStyle w:val="CellColumn"/>
              <w:jc w:val="right"/>
            </w:pPr>
            <w:r>
              <w:rPr>
                <w:rFonts w:cs="Times New Roman"/>
              </w:rPr>
              <w:t>26</w:t>
            </w:r>
          </w:p>
        </w:tc>
      </w:tr>
    </w:tbl>
    <w:p w:rsidR="00895DD6" w:rsidRDefault="00895DD6">
      <w:pPr>
        <w:jc w:val="left"/>
      </w:pPr>
    </w:p>
    <w:p w:rsidR="00895DD6" w:rsidRDefault="00F31687">
      <w:pPr>
        <w:pStyle w:val="Heading4"/>
      </w:pPr>
      <w:r>
        <w:t>A570504 NAKNADA U CIJENI GORIVA ZA HAC D.O.O.</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A570504-NAKNADA U CIJENI GORIVA ZA HAC D.O.O.</w:t>
            </w:r>
          </w:p>
        </w:tc>
        <w:tc>
          <w:tcPr>
            <w:tcW w:w="2041" w:type="dxa"/>
          </w:tcPr>
          <w:p w:rsidR="00895DD6" w:rsidRDefault="00F31687">
            <w:pPr>
              <w:pStyle w:val="CellColumn"/>
              <w:jc w:val="right"/>
            </w:pPr>
            <w:r>
              <w:rPr>
                <w:rFonts w:cs="Times New Roman"/>
              </w:rPr>
              <w:t>56.000.000</w:t>
            </w:r>
          </w:p>
        </w:tc>
        <w:tc>
          <w:tcPr>
            <w:tcW w:w="2041" w:type="dxa"/>
          </w:tcPr>
          <w:p w:rsidR="00895DD6" w:rsidRDefault="00F31687">
            <w:pPr>
              <w:pStyle w:val="CellColumn"/>
              <w:jc w:val="right"/>
            </w:pPr>
            <w:r>
              <w:rPr>
                <w:rFonts w:cs="Times New Roman"/>
              </w:rPr>
              <w:t>19.000.000</w:t>
            </w:r>
          </w:p>
        </w:tc>
        <w:tc>
          <w:tcPr>
            <w:tcW w:w="2041" w:type="dxa"/>
          </w:tcPr>
          <w:p w:rsidR="00895DD6" w:rsidRDefault="00F31687">
            <w:pPr>
              <w:pStyle w:val="CellColumn"/>
              <w:jc w:val="right"/>
            </w:pPr>
            <w:r>
              <w:rPr>
                <w:rFonts w:cs="Times New Roman"/>
              </w:rPr>
              <w:t>19.000.000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33,9</w:t>
            </w:r>
          </w:p>
        </w:tc>
      </w:tr>
    </w:tbl>
    <w:p w:rsidR="00895DD6" w:rsidRDefault="00895DD6">
      <w:pPr>
        <w:jc w:val="left"/>
      </w:pPr>
    </w:p>
    <w:p w:rsidR="00895DD6" w:rsidRDefault="00F31687">
      <w:pPr>
        <w:pStyle w:val="Heading8"/>
        <w:jc w:val="left"/>
      </w:pPr>
      <w:r>
        <w:t>Zakonske i druge pravne osnove</w:t>
      </w:r>
    </w:p>
    <w:p w:rsidR="00895DD6" w:rsidRDefault="00F31687">
      <w:r>
        <w:t>- Zakon o cestama, članak 91.</w:t>
      </w:r>
    </w:p>
    <w:p w:rsidR="00895DD6" w:rsidRDefault="00F31687">
      <w:pPr>
        <w:pStyle w:val="Heading8"/>
        <w:jc w:val="left"/>
      </w:pPr>
      <w:r>
        <w:t>Opis aktivnosti</w:t>
      </w:r>
    </w:p>
    <w:p w:rsidR="00895DD6" w:rsidRDefault="00F31687">
      <w:r>
        <w:t>Sukladno odredbama Zakona o cestama, na ime naknade u cijeni goriva u 2025. godini, društvu Hrvatske autoceste d.o.o. su doznačena sredstva u ukupnom iznosu od 19.000.000 EUR. Od ukupno doznačenih sredstava, ovisno o namjeni, sredstva su ut</w:t>
      </w:r>
      <w:r>
        <w:t xml:space="preserve">rošena za: </w:t>
      </w:r>
    </w:p>
    <w:p w:rsidR="00895DD6" w:rsidRDefault="00F31687">
      <w:r>
        <w:t xml:space="preserve">- dio investicija u izgradnju autocesta u iznosu od 3.775.017,45 EUR </w:t>
      </w:r>
    </w:p>
    <w:p w:rsidR="00895DD6" w:rsidRDefault="00F31687">
      <w:r>
        <w:t xml:space="preserve">- dio investicija u izvanredno održavanje autocesta u iznosu od 10.625.579,33 EUR </w:t>
      </w:r>
    </w:p>
    <w:p w:rsidR="00895DD6" w:rsidRDefault="00F31687">
      <w:r>
        <w:t xml:space="preserve">- otkup zemljišta u iznosu od 2.409.698,11 EUR </w:t>
      </w:r>
    </w:p>
    <w:p w:rsidR="00895DD6" w:rsidRDefault="00F31687">
      <w:r>
        <w:t xml:space="preserve">- dio otplata glavnica kredita u iznosu od </w:t>
      </w:r>
      <w:r>
        <w:t xml:space="preserve">2.189.705,11 EUR. </w:t>
      </w:r>
    </w:p>
    <w:p w:rsidR="00895DD6" w:rsidRDefault="00F31687">
      <w:r>
        <w:t>U listopadu 2025. godine u promet je puštena dionica od granice Republike Mađarske do Belog Manastira na autocesti A5 Granica Republike Mađarske - Osijek - Svilaj duljine 5 kilometara, čime je dovršena autocesta A5 u punom profilu i kori</w:t>
      </w:r>
      <w:r>
        <w:t>dor Vc kroz Hrvatsku te je autocesta spojena na mađarski dio koridora prema Budimpešti. U 2024. godini u promet je pušten i novi ulazni krak na autocestu A6, čime je završena treća i posljednja faza rekonstrukcije i dogradnje čvora Orehovica. U tijeku su r</w:t>
      </w:r>
      <w:r>
        <w:t xml:space="preserve">adovi na dovršetku autoceste A7 Rupa - Rijeka - Žuta Lokva, izgradnja I. faze dionice Selce - Novi Vinodolski te je odabran izvođač za nastavak radova na poddionici od Križišća do Jadranova. </w:t>
      </w:r>
    </w:p>
    <w:p w:rsidR="00895DD6" w:rsidRDefault="00F31687">
      <w:r>
        <w:t>Broj kilometara investicijskog održavanja autocesta u nadležnost</w:t>
      </w:r>
      <w:r>
        <w:t>i HAC-a, odnosno unapređenja stanja kolnika, planiran je u duljini od 44 kilometra, a radovi se se odvijali očekivanom dinamikom, uz stanku za vrijeme turističke sezone te je kolnička konstrukcija obnovljena u ukupnoj dužini od 36,5 km na autocestama A3 (2</w:t>
      </w:r>
      <w:r>
        <w:t>5 km), A4 (1,5 km), A6 (8 km) i A7 (2 km).</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 xml:space="preserve">Broj kilometara novoizgrađenih autocesta i državnih cesta u nadležnosti HAC-a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Ministarstvo uplaćuje sredstva HAC-u temeljem Zakona o cestama te su sredstva namijenjena za izgradnju autocesta i državnih cesta</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11</w:t>
            </w:r>
          </w:p>
        </w:tc>
        <w:tc>
          <w:tcPr>
            <w:tcW w:w="1020" w:type="dxa"/>
          </w:tcPr>
          <w:p w:rsidR="00895DD6" w:rsidRDefault="00F31687">
            <w:pPr>
              <w:pStyle w:val="CellColumn"/>
              <w:jc w:val="right"/>
            </w:pPr>
            <w:r>
              <w:rPr>
                <w:rFonts w:cs="Times New Roman"/>
              </w:rPr>
              <w:t>Upravitelj autoce</w:t>
            </w:r>
            <w:r>
              <w:rPr>
                <w:rFonts w:cs="Times New Roman"/>
              </w:rPr>
              <w:t xml:space="preserve">sta    </w:t>
            </w:r>
          </w:p>
          <w:p w:rsidR="00895DD6" w:rsidRDefault="00F31687">
            <w:pPr>
              <w:pStyle w:val="CellColumn"/>
              <w:jc w:val="right"/>
            </w:pPr>
            <w:r>
              <w:rPr>
                <w:rFonts w:cs="Times New Roman"/>
              </w:rPr>
              <w:t>(HAC)</w:t>
            </w:r>
          </w:p>
        </w:tc>
        <w:tc>
          <w:tcPr>
            <w:tcW w:w="1020" w:type="dxa"/>
          </w:tcPr>
          <w:p w:rsidR="00895DD6" w:rsidRDefault="00F31687">
            <w:pPr>
              <w:pStyle w:val="CellColumn"/>
              <w:jc w:val="right"/>
            </w:pPr>
            <w:r>
              <w:rPr>
                <w:rFonts w:cs="Times New Roman"/>
              </w:rPr>
              <w:t>5</w:t>
            </w:r>
          </w:p>
        </w:tc>
        <w:tc>
          <w:tcPr>
            <w:tcW w:w="1020" w:type="dxa"/>
          </w:tcPr>
          <w:p w:rsidR="00895DD6" w:rsidRDefault="00F31687">
            <w:pPr>
              <w:pStyle w:val="CellColumn"/>
              <w:jc w:val="right"/>
            </w:pPr>
            <w:r>
              <w:rPr>
                <w:rFonts w:cs="Times New Roman"/>
              </w:rPr>
              <w:t>5</w:t>
            </w:r>
          </w:p>
        </w:tc>
      </w:tr>
      <w:tr w:rsidR="00895DD6">
        <w:trPr>
          <w:jc w:val="center"/>
        </w:trPr>
        <w:tc>
          <w:tcPr>
            <w:tcW w:w="2551" w:type="dxa"/>
          </w:tcPr>
          <w:p w:rsidR="00895DD6" w:rsidRDefault="00F31687">
            <w:pPr>
              <w:pStyle w:val="CellColumn"/>
              <w:jc w:val="left"/>
            </w:pPr>
            <w:r>
              <w:rPr>
                <w:rFonts w:cs="Times New Roman"/>
              </w:rPr>
              <w:t xml:space="preserve">Broj kilometara investicijski održavanih autocesta u nadležnosti HAC-a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Ministarstvo uplaćuje sredstva HAC-u temeljem Zakona o cestama te su sredstva namijenjena za održavanje autocesta</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58</w:t>
            </w:r>
          </w:p>
        </w:tc>
        <w:tc>
          <w:tcPr>
            <w:tcW w:w="1020" w:type="dxa"/>
          </w:tcPr>
          <w:p w:rsidR="00895DD6" w:rsidRDefault="00F31687">
            <w:pPr>
              <w:pStyle w:val="CellColumn"/>
              <w:jc w:val="right"/>
            </w:pPr>
            <w:r>
              <w:rPr>
                <w:rFonts w:cs="Times New Roman"/>
              </w:rPr>
              <w:t xml:space="preserve">Upravitelj autocesta   </w:t>
            </w:r>
          </w:p>
          <w:p w:rsidR="00895DD6" w:rsidRDefault="00F31687">
            <w:pPr>
              <w:pStyle w:val="CellColumn"/>
              <w:jc w:val="right"/>
            </w:pPr>
            <w:r>
              <w:rPr>
                <w:rFonts w:cs="Times New Roman"/>
              </w:rPr>
              <w:t>(HAC)</w:t>
            </w:r>
          </w:p>
        </w:tc>
        <w:tc>
          <w:tcPr>
            <w:tcW w:w="1020" w:type="dxa"/>
          </w:tcPr>
          <w:p w:rsidR="00895DD6" w:rsidRDefault="00F31687">
            <w:pPr>
              <w:pStyle w:val="CellColumn"/>
              <w:jc w:val="right"/>
            </w:pPr>
            <w:r>
              <w:rPr>
                <w:rFonts w:cs="Times New Roman"/>
              </w:rPr>
              <w:t>44</w:t>
            </w:r>
          </w:p>
        </w:tc>
        <w:tc>
          <w:tcPr>
            <w:tcW w:w="1020" w:type="dxa"/>
          </w:tcPr>
          <w:p w:rsidR="00895DD6" w:rsidRDefault="00F31687">
            <w:pPr>
              <w:pStyle w:val="CellColumn"/>
              <w:jc w:val="right"/>
            </w:pPr>
            <w:r>
              <w:rPr>
                <w:rFonts w:cs="Times New Roman"/>
              </w:rPr>
              <w:t>36,5</w:t>
            </w:r>
          </w:p>
        </w:tc>
      </w:tr>
    </w:tbl>
    <w:p w:rsidR="00895DD6" w:rsidRDefault="00895DD6">
      <w:pPr>
        <w:jc w:val="left"/>
      </w:pPr>
    </w:p>
    <w:p w:rsidR="00895DD6" w:rsidRDefault="00F31687">
      <w:pPr>
        <w:pStyle w:val="Heading4"/>
      </w:pPr>
      <w:r>
        <w:t>A570506 NAKNADA U CIJENI GORIVA ZA HC D.O.O.</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A570506-NAKNADA U CIJENI GORIVA ZA HC D.O.O.</w:t>
            </w:r>
          </w:p>
        </w:tc>
        <w:tc>
          <w:tcPr>
            <w:tcW w:w="2041" w:type="dxa"/>
          </w:tcPr>
          <w:p w:rsidR="00895DD6" w:rsidRDefault="00F31687">
            <w:pPr>
              <w:pStyle w:val="CellColumn"/>
              <w:jc w:val="right"/>
            </w:pPr>
            <w:r>
              <w:rPr>
                <w:rFonts w:cs="Times New Roman"/>
              </w:rPr>
              <w:t>318.121.176</w:t>
            </w:r>
          </w:p>
        </w:tc>
        <w:tc>
          <w:tcPr>
            <w:tcW w:w="2041" w:type="dxa"/>
          </w:tcPr>
          <w:p w:rsidR="00895DD6" w:rsidRDefault="00F31687">
            <w:pPr>
              <w:pStyle w:val="CellColumn"/>
              <w:jc w:val="right"/>
            </w:pPr>
            <w:r>
              <w:rPr>
                <w:rFonts w:cs="Times New Roman"/>
              </w:rPr>
              <w:t>350.050.491</w:t>
            </w:r>
          </w:p>
        </w:tc>
        <w:tc>
          <w:tcPr>
            <w:tcW w:w="2041" w:type="dxa"/>
          </w:tcPr>
          <w:p w:rsidR="00895DD6" w:rsidRDefault="00F31687">
            <w:pPr>
              <w:pStyle w:val="CellColumn"/>
              <w:jc w:val="right"/>
            </w:pPr>
            <w:r>
              <w:rPr>
                <w:rFonts w:cs="Times New Roman"/>
              </w:rPr>
              <w:t>350.050.491</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110,0</w:t>
            </w:r>
          </w:p>
        </w:tc>
      </w:tr>
    </w:tbl>
    <w:p w:rsidR="00895DD6" w:rsidRDefault="00895DD6">
      <w:pPr>
        <w:jc w:val="left"/>
      </w:pPr>
    </w:p>
    <w:p w:rsidR="00895DD6" w:rsidRDefault="00F31687">
      <w:pPr>
        <w:pStyle w:val="Heading8"/>
        <w:jc w:val="left"/>
      </w:pPr>
      <w:r>
        <w:t>Zakonske i druge pravne osnove</w:t>
      </w:r>
    </w:p>
    <w:p w:rsidR="00895DD6" w:rsidRDefault="00F31687">
      <w:r>
        <w:t>- Zakon o cestama, članak 91.</w:t>
      </w:r>
    </w:p>
    <w:p w:rsidR="00895DD6" w:rsidRDefault="00F31687">
      <w:pPr>
        <w:pStyle w:val="Heading8"/>
        <w:jc w:val="left"/>
      </w:pPr>
      <w:r>
        <w:t>Opis aktivnosti</w:t>
      </w:r>
    </w:p>
    <w:p w:rsidR="00895DD6" w:rsidRDefault="00F31687">
      <w:r>
        <w:t xml:space="preserve">Sukladno odredbama Zakona o cestama, na ime naknade u cijeni goriva u 2025. godini, društvu Hrvatske ceste d.o.o. su doznačena sredstva u ukupnom iznosu od 350.050.491 EUR. Od ukupno doznačenih sredstava, ovisno o namjeni, sredstva su utrošena za: </w:t>
      </w:r>
    </w:p>
    <w:p w:rsidR="00895DD6" w:rsidRDefault="00F31687">
      <w:r>
        <w:t>Investi</w:t>
      </w:r>
      <w:r>
        <w:t xml:space="preserve">cijske aktivnosti u iznosu od 165,99 milijuna EUR, od čega je za: </w:t>
      </w:r>
    </w:p>
    <w:p w:rsidR="00895DD6" w:rsidRDefault="00F31687">
      <w:r>
        <w:t xml:space="preserve">- investicije u izgradnju državnih cesta utrošeno 79,13 milijuna EUR </w:t>
      </w:r>
    </w:p>
    <w:p w:rsidR="00895DD6" w:rsidRDefault="00F31687">
      <w:r>
        <w:t xml:space="preserve">- investicijsko održavanje i rekonstrukciju državnih cesta utrošeno 80,95 milijuna EUR </w:t>
      </w:r>
    </w:p>
    <w:p w:rsidR="00895DD6" w:rsidRDefault="00F31687">
      <w:r>
        <w:t>- nabavu ostale dugotrajne imov</w:t>
      </w:r>
      <w:r>
        <w:t xml:space="preserve">ine utrošeno 5,91 milijuna EUR. </w:t>
      </w:r>
    </w:p>
    <w:p w:rsidR="00895DD6" w:rsidRDefault="00F31687">
      <w:r>
        <w:t xml:space="preserve">Od investicijskih ulaganja u iznosu od 184,06 milijuna EUR doznačena sredstva su utrošena za: </w:t>
      </w:r>
    </w:p>
    <w:p w:rsidR="00895DD6" w:rsidRDefault="00F31687">
      <w:r>
        <w:t xml:space="preserve">- redovito održavanje državnih cesta utrošeno je 112,32 milijuna EUR </w:t>
      </w:r>
    </w:p>
    <w:p w:rsidR="00895DD6" w:rsidRDefault="00F31687">
      <w:r>
        <w:t>- izvanredno održavanje državnih cesta utrošeno je 8,29 mi</w:t>
      </w:r>
      <w:r>
        <w:t xml:space="preserve">lijuna EUR </w:t>
      </w:r>
    </w:p>
    <w:p w:rsidR="00895DD6" w:rsidRDefault="00F31687">
      <w:r>
        <w:t xml:space="preserve">- sufinanciranje zimske službe na nerazvrstanim cestama utrošeno je 1,47 milijuna EUR </w:t>
      </w:r>
    </w:p>
    <w:p w:rsidR="00895DD6" w:rsidRDefault="00F31687">
      <w:r>
        <w:t xml:space="preserve">- studije i razvojne pripreme utrošeno je 0,52 milijuna EUR </w:t>
      </w:r>
    </w:p>
    <w:p w:rsidR="00895DD6" w:rsidRDefault="00F31687">
      <w:r>
        <w:t xml:space="preserve">- troškove kamata i naknada utrošeno je 25,65 milijuna EUR </w:t>
      </w:r>
    </w:p>
    <w:p w:rsidR="00895DD6" w:rsidRDefault="00F31687">
      <w:r>
        <w:t>- otplate glavnica dospjelih kredita</w:t>
      </w:r>
      <w:r>
        <w:t xml:space="preserve"> utrošeno je 35,81 milijuna EUR. </w:t>
      </w:r>
    </w:p>
    <w:p w:rsidR="00895DD6" w:rsidRDefault="00F31687">
      <w:r>
        <w:t>U 2025. godini izvršenje programa Ulaganja u državne ceste iznosi 276,03 milijuna EUR. Tijekom godine završeno je 23,09 kilometara novoizgrađenih državnih cesta, dok je 108 kilometara državnih cesta rekonstruirano i invest</w:t>
      </w:r>
      <w:r>
        <w:t xml:space="preserve">icijski održavano, čime je ostvarenje u tom segmentu premašilo planirane vrijednosti. Ukupno izvršenje programa odvijalo se u skladu s planiranim aktivnostima te nisu zabilježena značajnija odstupanja od plana. U promatranom razdoblju završeni su sljedeći </w:t>
      </w:r>
      <w:r>
        <w:t>projekti izgradnje novih državnih cesta: Izgradnja dionice brze ceste: Okučani – Granica BiH, II. Faza, Izgradnja obilaznice Preloga, Srijemska granična transferzala Ilok – Lipovac, IV. poddionica – obilaznica Apševaca i Lipovca, Izgradnja brze ceste Zabok</w:t>
      </w:r>
      <w:r>
        <w:t xml:space="preserve"> – Krapina, faza 3.1, Izgradnja brze ceste Bjelovar – Virovitica – GP </w:t>
      </w:r>
      <w:r>
        <w:lastRenderedPageBreak/>
        <w:t>Terezino Polje (Mađarska), etapa III, 1. faza, dionica čvor Špišić-Bukovica – čvor Virovitica (km 39+740 – km 45+300).</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w:t>
            </w:r>
            <w:r>
              <w:rPr>
                <w:rFonts w:cs="Times New Roman"/>
              </w:rPr>
              <w:t>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Broj kilometara novoizgrađenih državnih cesta puštenih u promet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Ministarstvo uplaćuje sredstva HC-u temeljem Zakona o cestama te su sredstva namijenjena za izgradnju državnih cesta</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Hrvatske ceste d.o.o.</w:t>
            </w:r>
          </w:p>
        </w:tc>
        <w:tc>
          <w:tcPr>
            <w:tcW w:w="1020" w:type="dxa"/>
          </w:tcPr>
          <w:p w:rsidR="00895DD6" w:rsidRDefault="00F31687">
            <w:pPr>
              <w:pStyle w:val="CellColumn"/>
              <w:jc w:val="right"/>
            </w:pPr>
            <w:r>
              <w:rPr>
                <w:rFonts w:cs="Times New Roman"/>
              </w:rPr>
              <w:t>27,18</w:t>
            </w:r>
          </w:p>
        </w:tc>
        <w:tc>
          <w:tcPr>
            <w:tcW w:w="1020" w:type="dxa"/>
          </w:tcPr>
          <w:p w:rsidR="00895DD6" w:rsidRDefault="00F31687">
            <w:pPr>
              <w:pStyle w:val="CellColumn"/>
              <w:jc w:val="right"/>
            </w:pPr>
            <w:r>
              <w:rPr>
                <w:rFonts w:cs="Times New Roman"/>
              </w:rPr>
              <w:t>23,09</w:t>
            </w:r>
          </w:p>
        </w:tc>
      </w:tr>
      <w:tr w:rsidR="00895DD6">
        <w:trPr>
          <w:jc w:val="center"/>
        </w:trPr>
        <w:tc>
          <w:tcPr>
            <w:tcW w:w="2551" w:type="dxa"/>
          </w:tcPr>
          <w:p w:rsidR="00895DD6" w:rsidRDefault="00F31687">
            <w:pPr>
              <w:pStyle w:val="CellColumn"/>
              <w:jc w:val="left"/>
            </w:pPr>
            <w:r>
              <w:rPr>
                <w:rFonts w:cs="Times New Roman"/>
              </w:rPr>
              <w:t xml:space="preserve">Broj kilometara rekonstrukcije i investicijski održavanih državnih cesta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Ministarstvo uplaćuje sredstva HC-u temeljem Zakona o cestama te su sredstva namijenjena za održavanje državnih cesta</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Hrvatske ceste d.o.o.</w:t>
            </w:r>
          </w:p>
        </w:tc>
        <w:tc>
          <w:tcPr>
            <w:tcW w:w="1020" w:type="dxa"/>
          </w:tcPr>
          <w:p w:rsidR="00895DD6" w:rsidRDefault="00F31687">
            <w:pPr>
              <w:pStyle w:val="CellColumn"/>
              <w:jc w:val="right"/>
            </w:pPr>
            <w:r>
              <w:rPr>
                <w:rFonts w:cs="Times New Roman"/>
              </w:rPr>
              <w:t>100,00</w:t>
            </w:r>
          </w:p>
        </w:tc>
        <w:tc>
          <w:tcPr>
            <w:tcW w:w="1020" w:type="dxa"/>
          </w:tcPr>
          <w:p w:rsidR="00895DD6" w:rsidRDefault="00F31687">
            <w:pPr>
              <w:pStyle w:val="CellColumn"/>
              <w:jc w:val="right"/>
            </w:pPr>
            <w:r>
              <w:rPr>
                <w:rFonts w:cs="Times New Roman"/>
              </w:rPr>
              <w:t>108,00</w:t>
            </w:r>
          </w:p>
        </w:tc>
      </w:tr>
    </w:tbl>
    <w:p w:rsidR="00895DD6" w:rsidRDefault="00895DD6">
      <w:pPr>
        <w:jc w:val="left"/>
      </w:pPr>
    </w:p>
    <w:p w:rsidR="00895DD6" w:rsidRDefault="00F31687">
      <w:pPr>
        <w:pStyle w:val="Heading4"/>
      </w:pPr>
      <w:r>
        <w:t>A587081 SURADNJA S MEĐUNARODNIM ORGANIZACIJAMA I PLANIRANJE RAZVOJA CESTOVNE INFRASTRUKTURE</w:t>
      </w:r>
    </w:p>
    <w:tbl>
      <w:tblPr>
        <w:tblStyle w:val="StilTablice"/>
        <w:tblW w:w="10206" w:type="dxa"/>
        <w:jc w:val="center"/>
        <w:tblLook w:val="04A0" w:firstRow="1" w:lastRow="0" w:firstColumn="1" w:lastColumn="0" w:noHBand="0" w:noVBand="1"/>
      </w:tblPr>
      <w:tblGrid>
        <w:gridCol w:w="1904"/>
        <w:gridCol w:w="1961"/>
        <w:gridCol w:w="1961"/>
        <w:gridCol w:w="1961"/>
        <w:gridCol w:w="1206"/>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A587081-SURADNJA S MEĐUNARODNIM ORGANIZACIJAMA I PLANIRANJE RAZVOJA CESTOVNE INFRASTRUKTURE</w:t>
            </w:r>
          </w:p>
        </w:tc>
        <w:tc>
          <w:tcPr>
            <w:tcW w:w="2041" w:type="dxa"/>
          </w:tcPr>
          <w:p w:rsidR="00895DD6" w:rsidRDefault="00F31687">
            <w:pPr>
              <w:pStyle w:val="CellColumn"/>
              <w:jc w:val="right"/>
            </w:pPr>
            <w:r>
              <w:rPr>
                <w:rFonts w:cs="Times New Roman"/>
              </w:rPr>
              <w:t>1.681.720</w:t>
            </w:r>
          </w:p>
        </w:tc>
        <w:tc>
          <w:tcPr>
            <w:tcW w:w="2041" w:type="dxa"/>
          </w:tcPr>
          <w:p w:rsidR="00895DD6" w:rsidRDefault="00F31687">
            <w:pPr>
              <w:pStyle w:val="CellColumn"/>
              <w:jc w:val="right"/>
            </w:pPr>
            <w:r>
              <w:rPr>
                <w:rFonts w:cs="Times New Roman"/>
              </w:rPr>
              <w:t>1.606.463</w:t>
            </w:r>
          </w:p>
        </w:tc>
        <w:tc>
          <w:tcPr>
            <w:tcW w:w="2041" w:type="dxa"/>
          </w:tcPr>
          <w:p w:rsidR="00895DD6" w:rsidRDefault="00F31687">
            <w:pPr>
              <w:pStyle w:val="CellColumn"/>
              <w:jc w:val="right"/>
            </w:pPr>
            <w:r>
              <w:rPr>
                <w:rFonts w:cs="Times New Roman"/>
              </w:rPr>
              <w:t>1.603.130</w:t>
            </w:r>
          </w:p>
        </w:tc>
        <w:tc>
          <w:tcPr>
            <w:tcW w:w="1224" w:type="dxa"/>
          </w:tcPr>
          <w:p w:rsidR="00895DD6" w:rsidRDefault="00F31687">
            <w:pPr>
              <w:pStyle w:val="CellColumn"/>
              <w:jc w:val="right"/>
            </w:pPr>
            <w:r>
              <w:rPr>
                <w:rFonts w:cs="Times New Roman"/>
              </w:rPr>
              <w:t>99,8</w:t>
            </w:r>
          </w:p>
        </w:tc>
        <w:tc>
          <w:tcPr>
            <w:tcW w:w="1224" w:type="dxa"/>
          </w:tcPr>
          <w:p w:rsidR="00895DD6" w:rsidRDefault="00F31687">
            <w:pPr>
              <w:pStyle w:val="CellColumn"/>
              <w:jc w:val="right"/>
            </w:pPr>
            <w:r>
              <w:rPr>
                <w:rFonts w:cs="Times New Roman"/>
              </w:rPr>
              <w:t>95,3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cestama, članak 72.b.  </w:t>
      </w:r>
    </w:p>
    <w:p w:rsidR="00895DD6" w:rsidRDefault="00F31687">
      <w:r>
        <w:t xml:space="preserve">- Sporazum između Republike Hrvatske i Europske komisije Ujedinjenih naroda za Europu (ECE) s jedne strane i vlada zemalja sudionica TEM-a s druge strane  </w:t>
      </w:r>
    </w:p>
    <w:p w:rsidR="00895DD6" w:rsidRDefault="00F31687">
      <w:r>
        <w:t>- Odluka o objavljivanju mnogostranih međunarodnih ugovora kojih je Republika Hrvatska stranka na temelju notifikacija o sukcesiji (NN-MU 12/1993)</w:t>
      </w:r>
    </w:p>
    <w:p w:rsidR="00895DD6" w:rsidRDefault="00F31687">
      <w:pPr>
        <w:pStyle w:val="Heading8"/>
        <w:jc w:val="left"/>
      </w:pPr>
      <w:r>
        <w:t>Opis aktivnosti</w:t>
      </w:r>
    </w:p>
    <w:p w:rsidR="00895DD6" w:rsidRDefault="00F31687">
      <w:r>
        <w:t>Ministarstvo mora, prometa i infrastrukture, kao ministarstvo nadležno za poslove cestovne in</w:t>
      </w:r>
      <w:r>
        <w:t xml:space="preserve">frastrukture, sudjeluje u radu UNECE TEM projekta te plaća članarinu sukladno sklopljenom sporazumu. U 2025. godini plaćena je članarina u iznosu od 7.500 USD te su realizirane sve aktivnosti vezano za sudjelovanje u projektu.  </w:t>
      </w:r>
    </w:p>
    <w:p w:rsidR="00895DD6" w:rsidRDefault="00F31687">
      <w:r>
        <w:t xml:space="preserve">Ministarstvo mora, prometa </w:t>
      </w:r>
      <w:r>
        <w:t xml:space="preserve">i infrastrukture sudjeluje u radu organizacije CORTE (The Confederation of Organisations in Road Transport Enforcement) od 2006. godine te plaća godišnju članarinu kao članica. Navedena organizacija pokriva pravna, regulatorna i tehnička pitanja vezana uz </w:t>
      </w:r>
      <w:r>
        <w:t xml:space="preserve">cestovni prijevoz u Europskoj uniji i izvan nje.  </w:t>
      </w:r>
    </w:p>
    <w:p w:rsidR="00895DD6" w:rsidRDefault="00F31687">
      <w:r>
        <w:t>Ministarstvo sudjeluje i u radu International transport foruma - ITF (do 2006. godine Europska konferencija ministara prometa), međuvladine organizacije integrirane u OECD, te plaća članarinu koja je promj</w:t>
      </w:r>
      <w:r>
        <w:t xml:space="preserve">enjiva, a u 2025. godini je iznosila 28.000 EUR. U sklopu ITF-a djeluje Grupa za cestovni prijevoz koja upravlja kvotom dozvola za </w:t>
      </w:r>
      <w:r>
        <w:lastRenderedPageBreak/>
        <w:t>međunarodni prijevoz tereta. Temeljem sustava kvota, hrvatskim prijevoznicima izdaju se godišnje multilateralne dozvole (CEMT</w:t>
      </w:r>
      <w:r>
        <w:t>) kojima mogu obaviti neograničen broj prijevoza tereta između zemalja članica.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Plaćene obveze za članarine u međunarodnim organizacijama</w:t>
            </w:r>
          </w:p>
        </w:tc>
        <w:tc>
          <w:tcPr>
            <w:tcW w:w="2551" w:type="dxa"/>
          </w:tcPr>
          <w:p w:rsidR="00895DD6" w:rsidRDefault="00F31687">
            <w:pPr>
              <w:pStyle w:val="CellColumn"/>
              <w:jc w:val="left"/>
            </w:pPr>
            <w:r>
              <w:rPr>
                <w:rFonts w:cs="Times New Roman"/>
              </w:rPr>
              <w:t>Temeljem sporazuma isplaćuje se propisani iznos članarine za sudjelovanje u radu UNECE TEM projekta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A754005 GODIŠNJA NAKNADA ZA UPORABU JAVNIH CESTA I CESTARINA ZA NAJTEŽE INVALIDE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A754005-GODIŠNJA NAKNADA ZA UPORABU JAVNIH CESTA I CESTARINA ZA NAJTEŽE INVALIDE</w:t>
            </w:r>
          </w:p>
        </w:tc>
        <w:tc>
          <w:tcPr>
            <w:tcW w:w="2041" w:type="dxa"/>
          </w:tcPr>
          <w:p w:rsidR="00895DD6" w:rsidRDefault="00F31687">
            <w:pPr>
              <w:pStyle w:val="CellColumn"/>
              <w:jc w:val="right"/>
            </w:pPr>
            <w:r>
              <w:rPr>
                <w:rFonts w:cs="Times New Roman"/>
              </w:rPr>
              <w:t>4.605.715</w:t>
            </w:r>
          </w:p>
        </w:tc>
        <w:tc>
          <w:tcPr>
            <w:tcW w:w="2041" w:type="dxa"/>
          </w:tcPr>
          <w:p w:rsidR="00895DD6" w:rsidRDefault="00F31687">
            <w:pPr>
              <w:pStyle w:val="CellColumn"/>
              <w:jc w:val="right"/>
            </w:pPr>
            <w:r>
              <w:rPr>
                <w:rFonts w:cs="Times New Roman"/>
              </w:rPr>
              <w:t>5.250.672</w:t>
            </w:r>
          </w:p>
        </w:tc>
        <w:tc>
          <w:tcPr>
            <w:tcW w:w="2041" w:type="dxa"/>
          </w:tcPr>
          <w:p w:rsidR="00895DD6" w:rsidRDefault="00F31687">
            <w:pPr>
              <w:pStyle w:val="CellColumn"/>
              <w:jc w:val="right"/>
            </w:pPr>
            <w:r>
              <w:rPr>
                <w:rFonts w:cs="Times New Roman"/>
              </w:rPr>
              <w:t>5.250.672</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114,0</w:t>
            </w:r>
          </w:p>
        </w:tc>
      </w:tr>
    </w:tbl>
    <w:p w:rsidR="00895DD6" w:rsidRDefault="00895DD6">
      <w:pPr>
        <w:jc w:val="left"/>
      </w:pPr>
    </w:p>
    <w:p w:rsidR="00895DD6" w:rsidRDefault="00F31687">
      <w:pPr>
        <w:pStyle w:val="Heading8"/>
        <w:jc w:val="left"/>
      </w:pPr>
      <w:r>
        <w:t>Zakonske i druge pravne osnove</w:t>
      </w:r>
    </w:p>
    <w:p w:rsidR="00895DD6" w:rsidRDefault="00F31687">
      <w:r>
        <w:t>- Zakon o cestama, članak 88.</w:t>
      </w:r>
    </w:p>
    <w:p w:rsidR="00895DD6" w:rsidRDefault="00F31687">
      <w:pPr>
        <w:pStyle w:val="Heading8"/>
        <w:jc w:val="left"/>
      </w:pPr>
      <w:r>
        <w:t>Opis aktivnosti</w:t>
      </w:r>
    </w:p>
    <w:p w:rsidR="00895DD6" w:rsidRDefault="00F31687">
      <w:r>
        <w:t xml:space="preserve">Aktivnošću se osigurava ostvarivanje prava na mobilnost i jednaku dostupnost prijevoznih sredstava u cestovnom prometu osobama s invaliditetom. Osobe s invaliditetom, koje imaju određeni stupanj tjelesnog oštećenja, ostvaruju pravo na oslobađanje plaćanja </w:t>
      </w:r>
      <w:r>
        <w:t>godišnje naknade za uporabu javnih cesta koja se plaća pri registraciji osobnog automobila i/ili pravo na oslobađanje plaćanja cestarine za uporabu autocesta i objekata s naplatom (most, tunel, vijadukt i sl.). Provođenjem ove aktivnosti osigurava se i pot</w:t>
      </w:r>
      <w:r>
        <w:t xml:space="preserve">iče mobilnost te povećava dostupnost prijevoznih sredstava u cestovnom prometu osobama s tjelesnim invaliditetom.  </w:t>
      </w:r>
    </w:p>
    <w:p w:rsidR="00895DD6" w:rsidRDefault="00F31687">
      <w:r>
        <w:t>Tijekom 2025. godine, 38.378 korisnika ostvarilo je pravo na oslobađanje od plaćanja godišnje naknade za uporabu javnih cesta, odnosno pravo</w:t>
      </w:r>
      <w:r>
        <w:t xml:space="preserve"> na oslobađanje od plaćanja cestarine za korištenje dionica autocesta i objekata s naplatom. Do odstupanja od ciljane vrijednosti je došlo zbog većeg broja registriranih vozila i većeg broja korištenja autocesta od strane osoba sa invaliditetom nakon stupa</w:t>
      </w:r>
      <w:r>
        <w:t>nja na snagu Zakona o povlasticama u prometu.</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Broj ostvarenih prava na oslobađanje od plaćanja godišnj</w:t>
            </w:r>
            <w:r>
              <w:rPr>
                <w:rFonts w:cs="Times New Roman"/>
              </w:rPr>
              <w:t>e naknade za uporabu javnih cesta odnosno pravo na oslobađanje od plaćanja cestarine za korištenje dionica autocesta i objekata s naplatom (godišnja vrijednost)</w:t>
            </w:r>
          </w:p>
        </w:tc>
        <w:tc>
          <w:tcPr>
            <w:tcW w:w="2551" w:type="dxa"/>
          </w:tcPr>
          <w:p w:rsidR="00895DD6" w:rsidRDefault="00F31687">
            <w:pPr>
              <w:pStyle w:val="CellColumn"/>
              <w:jc w:val="left"/>
            </w:pPr>
            <w:r>
              <w:rPr>
                <w:rFonts w:cs="Times New Roman"/>
              </w:rPr>
              <w:t>Naknada za osobe sa invaliditetom koje su ostvarile pravo na oslobađanje od plaćanja godišnje n</w:t>
            </w:r>
            <w:r>
              <w:rPr>
                <w:rFonts w:cs="Times New Roman"/>
              </w:rPr>
              <w:t>aknade za uporabu javnih cesta odnosno pravo na oslobađanje od plaćanja cestarine za korištenje dionica autocesta i objekata s naplatom koja se isplaćuje na godišnjoj razini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29.904</w:t>
            </w:r>
          </w:p>
        </w:tc>
        <w:tc>
          <w:tcPr>
            <w:tcW w:w="1020" w:type="dxa"/>
          </w:tcPr>
          <w:p w:rsidR="00895DD6" w:rsidRDefault="00F31687">
            <w:pPr>
              <w:pStyle w:val="CellColumn"/>
              <w:jc w:val="right"/>
            </w:pPr>
            <w:r>
              <w:rPr>
                <w:rFonts w:cs="Times New Roman"/>
              </w:rPr>
              <w:t>Podaci upravitelja cesta</w:t>
            </w:r>
          </w:p>
        </w:tc>
        <w:tc>
          <w:tcPr>
            <w:tcW w:w="1020" w:type="dxa"/>
          </w:tcPr>
          <w:p w:rsidR="00895DD6" w:rsidRDefault="00F31687">
            <w:pPr>
              <w:pStyle w:val="CellColumn"/>
              <w:jc w:val="right"/>
            </w:pPr>
            <w:r>
              <w:rPr>
                <w:rFonts w:cs="Times New Roman"/>
              </w:rPr>
              <w:t>31.000</w:t>
            </w:r>
          </w:p>
        </w:tc>
        <w:tc>
          <w:tcPr>
            <w:tcW w:w="1020" w:type="dxa"/>
          </w:tcPr>
          <w:p w:rsidR="00895DD6" w:rsidRDefault="00F31687">
            <w:pPr>
              <w:pStyle w:val="CellColumn"/>
              <w:jc w:val="right"/>
            </w:pPr>
            <w:r>
              <w:rPr>
                <w:rFonts w:cs="Times New Roman"/>
              </w:rPr>
              <w:t>38.378</w:t>
            </w:r>
          </w:p>
        </w:tc>
      </w:tr>
    </w:tbl>
    <w:p w:rsidR="00895DD6" w:rsidRDefault="00895DD6">
      <w:pPr>
        <w:jc w:val="left"/>
      </w:pPr>
    </w:p>
    <w:p w:rsidR="00895DD6" w:rsidRDefault="00F31687">
      <w:pPr>
        <w:pStyle w:val="Heading4"/>
      </w:pPr>
      <w:r>
        <w:t>A810057 POTPORA ŽUPANIJSKIM UPRAVAMA ZA CESTE I JEDINICAMA LOKALNE I REGIONALNE SAMOUPRAVE ZA ODRŽAVANJE, REKONSTRUKCIJU I GRAĐENJE ŽUPANIJSKIH,  LOKALNIH I NERAZVRSTANIH CESTA</w:t>
      </w:r>
    </w:p>
    <w:tbl>
      <w:tblPr>
        <w:tblStyle w:val="StilTablice"/>
        <w:tblW w:w="10206" w:type="dxa"/>
        <w:jc w:val="center"/>
        <w:tblLook w:val="04A0" w:firstRow="1" w:lastRow="0" w:firstColumn="1" w:lastColumn="0" w:noHBand="0" w:noVBand="1"/>
      </w:tblPr>
      <w:tblGrid>
        <w:gridCol w:w="1881"/>
        <w:gridCol w:w="1968"/>
        <w:gridCol w:w="1969"/>
        <w:gridCol w:w="1969"/>
        <w:gridCol w:w="1206"/>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w:t>
            </w:r>
            <w:r>
              <w:rPr>
                <w:rFonts w:cs="Times New Roman"/>
              </w:rPr>
              <w:t>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A810057-POTPORA ŽUPANIJSKIM UPRAVAMA ZA CESTE I JEDINICAMA LOKALNE I REGIONALNE SAMOUPRAVE ZA ODRŽAVANJE, REKONSTRUKCIJU I GRAĐENJE ŽUPANIJSKIH,  LOKALNIH I NERAZVRSTANIH CESTA</w:t>
            </w:r>
          </w:p>
        </w:tc>
        <w:tc>
          <w:tcPr>
            <w:tcW w:w="2041" w:type="dxa"/>
          </w:tcPr>
          <w:p w:rsidR="00895DD6" w:rsidRDefault="00F31687">
            <w:pPr>
              <w:pStyle w:val="CellColumn"/>
              <w:jc w:val="right"/>
            </w:pPr>
            <w:r>
              <w:rPr>
                <w:rFonts w:cs="Times New Roman"/>
              </w:rPr>
              <w:t>24.996.374</w:t>
            </w:r>
          </w:p>
        </w:tc>
        <w:tc>
          <w:tcPr>
            <w:tcW w:w="2041" w:type="dxa"/>
          </w:tcPr>
          <w:p w:rsidR="00895DD6" w:rsidRDefault="00F31687">
            <w:pPr>
              <w:pStyle w:val="CellColumn"/>
              <w:jc w:val="right"/>
            </w:pPr>
            <w:r>
              <w:rPr>
                <w:rFonts w:cs="Times New Roman"/>
              </w:rPr>
              <w:t>14.204.211</w:t>
            </w:r>
          </w:p>
        </w:tc>
        <w:tc>
          <w:tcPr>
            <w:tcW w:w="2041" w:type="dxa"/>
          </w:tcPr>
          <w:p w:rsidR="00895DD6" w:rsidRDefault="00F31687">
            <w:pPr>
              <w:pStyle w:val="CellColumn"/>
              <w:jc w:val="right"/>
            </w:pPr>
            <w:r>
              <w:rPr>
                <w:rFonts w:cs="Times New Roman"/>
              </w:rPr>
              <w:t>14.204.211</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56,8</w:t>
            </w:r>
          </w:p>
        </w:tc>
      </w:tr>
    </w:tbl>
    <w:p w:rsidR="00895DD6" w:rsidRDefault="00895DD6">
      <w:pPr>
        <w:jc w:val="left"/>
      </w:pPr>
    </w:p>
    <w:p w:rsidR="00895DD6" w:rsidRDefault="00F31687">
      <w:pPr>
        <w:pStyle w:val="Heading8"/>
        <w:jc w:val="left"/>
      </w:pPr>
      <w:r>
        <w:t>Zakonske i druge pravne osnove</w:t>
      </w:r>
    </w:p>
    <w:p w:rsidR="00895DD6" w:rsidRDefault="00F31687">
      <w:r>
        <w:t>- Zakon o cestama</w:t>
      </w:r>
    </w:p>
    <w:p w:rsidR="00895DD6" w:rsidRDefault="00F31687">
      <w:pPr>
        <w:pStyle w:val="Heading8"/>
        <w:jc w:val="left"/>
      </w:pPr>
      <w:r>
        <w:t>Opis aktivnosti</w:t>
      </w:r>
    </w:p>
    <w:p w:rsidR="00895DD6" w:rsidRDefault="00F31687">
      <w:r>
        <w:t>Županijskim upravama za ceste su u 2025. godini doznačena financijska sredstva za održavanje, rekonstrukciju i građenje županijskih i lokalnih cesta. Navedena sredstva usmjerena su za postizanje više razine održavanja, rekonstrukcije i građenja županijskih</w:t>
      </w:r>
      <w:r>
        <w:t xml:space="preserve"> i lokalnih cesta.  </w:t>
      </w:r>
    </w:p>
    <w:p w:rsidR="00895DD6" w:rsidRDefault="00F31687">
      <w:r>
        <w:t>Sredstva za održavanje, rekonstrukciju i građenje županijskih i lokalnih cesta raspoređena su korisnicima sredstava, primjenjujući kriterije iz članka 92. Zakona o cestama u slijedećim iznosima: ŽUC Bjelovarsko-bilogorske županije 534.</w:t>
      </w:r>
      <w:r>
        <w:t>513,18 EUR, ŽUC Dubrovačko-neretvanske županije 385.762,71 EUR, ŽUC Karlovačke županije 684.765,07 EUR, ŽUC Koprivničko-križevačke županije 666.180,90 EUR, ŽUC Ličko-senjske županije 1.043.070,77 EUR, ŽUC Požeško-slavonske županije 385.013,40 EUR, ŽUC Sisa</w:t>
      </w:r>
      <w:r>
        <w:t>čko-moslavačke županije 996.810,96 EUR, ŽUC Šibensko-kninske županije 565.719,08 EUR, ŽUC Virovitičko-podravske županije 542.990,98 EUR, ŽUC Zadarske županije 952.468,22 EUR. U 2025. godini financijska sredstva za održavanje, rekonstrukciju i građenje župa</w:t>
      </w:r>
      <w:r>
        <w:t>nijskih i lokalnih cesta doznačena su samo županijskim upravama za ceste koje su imala primanja ispod prosjeka izračunatog na razini svih dvadeset županijskih uprava i iz razloga što je u prošloj godini donesen Pravilnik o izmjenama i dopuni Pravilnika o v</w:t>
      </w:r>
      <w:r>
        <w:t xml:space="preserve">isini godišnje naknade za uporabu javnih cesta što se plaća pri registraciji motornih i priključnih vozila, a primjenom istog znatno će se povećati prihodi županijskih uprava za ceste. </w:t>
      </w:r>
    </w:p>
    <w:p w:rsidR="00895DD6" w:rsidRDefault="00F31687">
      <w:r>
        <w:lastRenderedPageBreak/>
        <w:t>Temeljem odluka potpredsjednika Vlade RH i ministra te Sporazuma, dodi</w:t>
      </w:r>
      <w:r>
        <w:t>jeljena su i sredstva za provođenje projekata jedinicama lokalne samouprave i županijskim upravama za ceste u slijedećim iznosima: Grad Ozalj 450.000 EUR, Grad Gospić 158.253 EUR, Općina Lovinac 700.000 EUR, ŽUC Splitsko-dalmatinske županije 200.000 EUR, Ž</w:t>
      </w:r>
      <w:r>
        <w:t>UC Dubrovačko-neretvanske županije 5.750.000 EUR i ŽUC Sisačko-moslavačke županije 188.662,73 EUR.</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w:t>
            </w:r>
            <w:r>
              <w:rPr>
                <w:rFonts w:cs="Times New Roman"/>
              </w:rPr>
              <w:t>j ugovora sklopljenih sa županijskim upravama za ceste koje  upravljaju županijskim i lokalnim cestama</w:t>
            </w:r>
          </w:p>
        </w:tc>
        <w:tc>
          <w:tcPr>
            <w:tcW w:w="2551" w:type="dxa"/>
          </w:tcPr>
          <w:p w:rsidR="00895DD6" w:rsidRDefault="00F31687">
            <w:pPr>
              <w:pStyle w:val="CellColumn"/>
              <w:jc w:val="left"/>
            </w:pPr>
            <w:r>
              <w:rPr>
                <w:rFonts w:cs="Times New Roman"/>
              </w:rPr>
              <w:t>Temeljem odluke ministra mora, prometa i infrastrukture isplaćuju se sredstva potpore za održavanje, rekonstrukciju i održavanje županijskih i lokalnih c</w:t>
            </w:r>
            <w:r>
              <w:rPr>
                <w:rFonts w:cs="Times New Roman"/>
              </w:rPr>
              <w:t>esta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20</w:t>
            </w:r>
          </w:p>
        </w:tc>
        <w:tc>
          <w:tcPr>
            <w:tcW w:w="1020" w:type="dxa"/>
          </w:tcPr>
          <w:p w:rsidR="00895DD6" w:rsidRDefault="00F31687">
            <w:pPr>
              <w:pStyle w:val="CellColumn"/>
              <w:jc w:val="right"/>
            </w:pPr>
            <w:r>
              <w:rPr>
                <w:rFonts w:cs="Times New Roman"/>
              </w:rPr>
              <w:t>10</w:t>
            </w:r>
          </w:p>
        </w:tc>
      </w:tr>
    </w:tbl>
    <w:p w:rsidR="00895DD6" w:rsidRDefault="00895DD6">
      <w:pPr>
        <w:jc w:val="left"/>
      </w:pPr>
    </w:p>
    <w:p w:rsidR="00895DD6" w:rsidRDefault="00F31687">
      <w:pPr>
        <w:pStyle w:val="Heading4"/>
      </w:pPr>
      <w:r>
        <w:t>A819031 PROVEDBA UGOVORA O KONCESIJI - BINA-ISTRA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A819031-PROVEDBA UGOVORA O KONCESIJI - BINA-ISTRA</w:t>
            </w:r>
          </w:p>
        </w:tc>
        <w:tc>
          <w:tcPr>
            <w:tcW w:w="2041" w:type="dxa"/>
          </w:tcPr>
          <w:p w:rsidR="00895DD6" w:rsidRDefault="00F31687">
            <w:pPr>
              <w:pStyle w:val="CellColumn"/>
              <w:jc w:val="right"/>
            </w:pPr>
            <w:r>
              <w:rPr>
                <w:rFonts w:cs="Times New Roman"/>
              </w:rPr>
              <w:t>30.141.186</w:t>
            </w:r>
          </w:p>
        </w:tc>
        <w:tc>
          <w:tcPr>
            <w:tcW w:w="2041" w:type="dxa"/>
          </w:tcPr>
          <w:p w:rsidR="00895DD6" w:rsidRDefault="00F31687">
            <w:pPr>
              <w:pStyle w:val="CellColumn"/>
              <w:jc w:val="right"/>
            </w:pPr>
            <w:r>
              <w:rPr>
                <w:rFonts w:cs="Times New Roman"/>
              </w:rPr>
              <w:t>29.933.510</w:t>
            </w:r>
          </w:p>
        </w:tc>
        <w:tc>
          <w:tcPr>
            <w:tcW w:w="2041" w:type="dxa"/>
          </w:tcPr>
          <w:p w:rsidR="00895DD6" w:rsidRDefault="00F31687">
            <w:pPr>
              <w:pStyle w:val="CellColumn"/>
              <w:jc w:val="right"/>
            </w:pPr>
            <w:r>
              <w:rPr>
                <w:rFonts w:cs="Times New Roman"/>
              </w:rPr>
              <w:t>29.933.510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99,3</w:t>
            </w:r>
          </w:p>
        </w:tc>
      </w:tr>
    </w:tbl>
    <w:p w:rsidR="00895DD6" w:rsidRDefault="00895DD6">
      <w:pPr>
        <w:jc w:val="left"/>
      </w:pPr>
    </w:p>
    <w:p w:rsidR="00895DD6" w:rsidRDefault="00F31687">
      <w:pPr>
        <w:pStyle w:val="Heading8"/>
        <w:jc w:val="left"/>
      </w:pPr>
      <w:r>
        <w:t>Zakonske i druge pravne osnove</w:t>
      </w:r>
    </w:p>
    <w:p w:rsidR="00895DD6" w:rsidRDefault="00F31687">
      <w:r>
        <w:t>- Ugovor o koncesiji za financiranje, građenje, upravljanje i održavanje "Jadranske autoceste" dionica: Dragonja-Pula i Kanfanar-</w:t>
      </w:r>
      <w:r>
        <w:t>Pazin-Matulji (Prva i druga faza), od 25. rujna 1995. godine sa sedam izmjena Ugovora - članci 26.2 i 27.2 Poglavlja 5. Ugovora o koncesiji za financiranje, građenje, upravljanje i održavanje „Jadranske autoceste“ - dionica Dragonja-Pula i Kanfanar-Pazin-M</w:t>
      </w:r>
      <w:r>
        <w:t>atulji (Prva i druga faza) od 25. rujna 1995. godine i članak 6. Priloga 19. Ugovora o izmjenama i dopunama br. 6 Ugovora o koncesiji za financiranje, građenje, upravljanje i održavanje „Jadranske autoceste“ - dionica Dragonja-Pula i Kanfanar-Pazin-Matulji</w:t>
      </w:r>
      <w:r>
        <w:t xml:space="preserve"> (Prva i druga faza), od 04. studenoga 2020. godine, odnosno članak 6. Priloga 19. Ugovora o izmjenama i dopunama br. 7 Ugovora o koncesiji za financiranje, građenje, upravljanje i održavanje „Jadranske autoceste“ - dionica Dragonja-Pula i Kanfanar-Pazin-M</w:t>
      </w:r>
      <w:r>
        <w:t>atulji (Prva i druga faza), od 10. svibnja 2023. godine.</w:t>
      </w:r>
    </w:p>
    <w:p w:rsidR="00895DD6" w:rsidRDefault="00F31687">
      <w:pPr>
        <w:pStyle w:val="Heading8"/>
        <w:jc w:val="left"/>
      </w:pPr>
      <w:r>
        <w:t>Opis aktivnosti</w:t>
      </w:r>
    </w:p>
    <w:p w:rsidR="00895DD6" w:rsidRDefault="00F31687">
      <w:r>
        <w:t>Koncesijskim ugovorom između Republike Hrvatske i društva Bina Istra d.d. društvu se nadoknađuje financijski doprinos, koji predstavlja razliku između predviđenih prihoda od cestarine i troškova definiranih Ugovorom o koncesiji. Obzirom da dolazi do razlik</w:t>
      </w:r>
      <w:r>
        <w:t>e između predviđenih prihoda od cestarine i troškova definiranih Prilogom 19. izmjena i dopuna Ugovora o koncesiji broj 5., od 6. studenog 2018. godine,  izmjenama i dopunama Ugovora o koncesiji broj 6., od 4. studenog 2020. godine, odnosno izmjenama i dop</w:t>
      </w:r>
      <w:r>
        <w:t xml:space="preserve">unama Ugovora o koncesiji broj 7., od 10. svibnja 2023. godine, predviđeni prihodi od cestarine nisu dovoljni za pokrivanje svih definiranih troškova u danom roku trajanja koncesije. Iznos Financijskog doprinosa određuje se na temelju odobrenih troškova i </w:t>
      </w:r>
      <w:r>
        <w:t xml:space="preserve">cijene cestarine na Istarskom ipsilonu od strane koncedenta na godišnjoj razini, a izračunava se pomoću financijskog modela. </w:t>
      </w:r>
    </w:p>
    <w:p w:rsidR="00895DD6" w:rsidRDefault="00F31687">
      <w:r>
        <w:t xml:space="preserve">Sredstva s ove aktivnosti utrošena su za:   </w:t>
      </w:r>
    </w:p>
    <w:p w:rsidR="00895DD6" w:rsidRDefault="00F31687">
      <w:r>
        <w:t xml:space="preserve">- podmirenje standardnih troškova Koncesionara  </w:t>
      </w:r>
    </w:p>
    <w:p w:rsidR="00895DD6" w:rsidRDefault="00F31687">
      <w:r>
        <w:t xml:space="preserve">- troškove upravljanja i održavanja </w:t>
      </w:r>
      <w:r>
        <w:t xml:space="preserve">(na temelju ugovora o održavanju i upravljanju 142 km autoceste na Istarskom ipsilonu)  </w:t>
      </w:r>
    </w:p>
    <w:p w:rsidR="00895DD6" w:rsidRDefault="00F31687">
      <w:r>
        <w:lastRenderedPageBreak/>
        <w:t xml:space="preserve">- izvanredno održavanje (tunel Učka, obnova autoceste)  </w:t>
      </w:r>
    </w:p>
    <w:p w:rsidR="00895DD6" w:rsidRDefault="00F31687">
      <w:r>
        <w:t xml:space="preserve">- servisiranje duga (otplata kamate i glavnice na povučena sredstva iz kredita temeljem Ugovora o kreditu). </w:t>
      </w:r>
    </w:p>
    <w:p w:rsidR="00895DD6" w:rsidRDefault="00F31687">
      <w:r>
        <w:t>D</w:t>
      </w:r>
      <w:r>
        <w:t>ruštvo je tijekom 2025. godine provodilo dopunu na puni profil dionice od tunela Učka (Kvarner) do čvora Matulji, što predstavlja Pod-fazu 2B2-2 te dupliranje vijadukta Limska Draga i mosta Mirna što predstavlja Pod-fazu 2B2-3. Ukupan iznos investicije izn</w:t>
      </w:r>
      <w:r>
        <w:t xml:space="preserve">osi 199 milijuna EUR na 31.12.2022. godine, uvećan za Ostale građevinske radove Pod-faze 2B2-2 i Pod-faze 2B2-3, ukupne vrijednosti 14 milijuna EUR. </w:t>
      </w:r>
    </w:p>
    <w:p w:rsidR="00895DD6" w:rsidRDefault="00F31687">
      <w:r>
        <w:t>Ukupna duljina pod-faze 2B2-2 je 10,30 kilometara te se sastoji od 5 pod-dionica:- 2B2-2-1 – Dio A - Proši</w:t>
      </w:r>
      <w:r>
        <w:t xml:space="preserve">renje odmorišta Kvarner, i to:  </w:t>
      </w:r>
    </w:p>
    <w:p w:rsidR="00895DD6" w:rsidRDefault="00F31687">
      <w:r>
        <w:t xml:space="preserve">- 2B2-2-1 – Dio B – izgradnja 2 dodatne kolničke trake između završetka pod-faze 2B2-1 i početka faze 2B2-2 (1,3 km)  </w:t>
      </w:r>
    </w:p>
    <w:p w:rsidR="00895DD6" w:rsidRDefault="00F31687">
      <w:r>
        <w:t xml:space="preserve">- 2B2-2-2 Odmorište Kvarner – Veprinac (2,8 km)  </w:t>
      </w:r>
    </w:p>
    <w:p w:rsidR="00895DD6" w:rsidRDefault="00F31687">
      <w:r>
        <w:t xml:space="preserve">- 2B2-2-3 Veprinac – Anđeli (3,5 km)  </w:t>
      </w:r>
    </w:p>
    <w:p w:rsidR="00895DD6" w:rsidRDefault="00F31687">
      <w:r>
        <w:t>- 2B2-2-4 Anđel</w:t>
      </w:r>
      <w:r>
        <w:t xml:space="preserve">i – Frančići (1,6 km)  </w:t>
      </w:r>
    </w:p>
    <w:p w:rsidR="00895DD6" w:rsidRDefault="00F31687">
      <w:r>
        <w:t xml:space="preserve">- 2B2-2-5 Frančići – Matulji (1,2 km)  </w:t>
      </w:r>
    </w:p>
    <w:p w:rsidR="00895DD6" w:rsidRDefault="00F31687">
      <w:r>
        <w:t>Svrha provedbe ovog projekta je potpuno povezivanje hrvatske mreže autocesta u čvorištu Matulji na riječkoj zaobilaznici. Predviđeno je da se i postojeća brza cesta na određenim dijelovima rek</w:t>
      </w:r>
      <w:r>
        <w:t xml:space="preserve">onstruira kako bi se poboljšali projektni element, zaštita od buke za novi i postojeći kolnik. </w:t>
      </w:r>
    </w:p>
    <w:p w:rsidR="00895DD6" w:rsidRDefault="00F31687">
      <w:r>
        <w:t>Pod-Faza 2B2-3 sastoji se od dupliranje mosta Mirna (aproksimativne duljine 1,4 km) i dupliranje vijadukta Limska Draga (aproksimativne duljine 0,6 km) na zapad</w:t>
      </w:r>
      <w:r>
        <w:t xml:space="preserve">nom kraku Istarskog Ipsilona, dionici autoceste A9 Umag - Pula. </w:t>
      </w:r>
    </w:p>
    <w:p w:rsidR="00895DD6" w:rsidRDefault="00F31687">
      <w:r>
        <w:t>Izgradnjom pod-faza 2B2-2 i 2B2-3 povećat će se sigurnost autoceste dodavanjem drugog kolnika i barijera između tunela Učka i Matulja, a također i udvostručavanjem mosta Mirna i vijadukta Limska Draga, što će dovesti do manjeg broja teških nesreća i smanje</w:t>
      </w:r>
      <w:r>
        <w:t>nja opasnosti koje predstavlja potencijalno usko grlo na izlazu iz udvostručenog tunela Učka. Pod-faza 2B2-2 i Podfaza 2B2-3 smanjit će vrijeme putovanja za korisnike, poboljšati zaštitu okoliša i smanjiti prometna zagušenja, što će dovesti do smanjenja em</w:t>
      </w:r>
      <w:r>
        <w:t xml:space="preserve">isije CO2 i onečišćenja zraka unutar Parka prirode Učka te poboljšati zaštitu od buke. </w:t>
      </w:r>
    </w:p>
    <w:p w:rsidR="00895DD6" w:rsidRDefault="00F31687">
      <w:r>
        <w:t>Radovi na izgradnji Pod-faze 2B2-2 i Pod- faze 2B2-3 započeli su 25. kolovoza 2023., kada je izdan Nalog za početak radova za prve tri dionice: 2B2-2-2 (izgradnja dviju</w:t>
      </w:r>
      <w:r>
        <w:t xml:space="preserve"> dodatnih traka između krajnje točke odmorišta Kvarner i čvorišta Veprinac), 2B2-2-3 (izgradnja dviju dodatnih traka između čvorišta Veprinac i čvorišta Anđeli) te dionice 2B2-3-1 (vijadukt Limska Draga). Drugi Nalog za početak radova izdan je 9. veljače 2</w:t>
      </w:r>
      <w:r>
        <w:t>024. za poddionice Podfaze 2B2-2: B2-2-1 – Dio A - Proširenje odmorišta Kvarner , poddionca 2B2-2-1 – Dio B – izgradnja 2 dodatne kolničke trake između završetka Podfaze 2B2-1 i početka faze 2B2-2 (1,3 km) i poddionicu Podfaze 2B2-3: 2B2-3-2 vijadukt Mirna</w:t>
      </w:r>
      <w:r>
        <w:t xml:space="preserve">. </w:t>
      </w:r>
    </w:p>
    <w:p w:rsidR="00895DD6" w:rsidRDefault="00F31687">
      <w:r>
        <w:t xml:space="preserve">Treći Nalog za početak radova izdan je 11. srpnja 2024. te obuhvaća poddionice Podfaze 2B2-2: 2B2-2-4 Anđeli – Frančići (1,6 km) i 2B2-2-5 Frančići – Matulji (1,2 km). </w:t>
      </w:r>
    </w:p>
    <w:p w:rsidR="00895DD6" w:rsidRDefault="00F31687">
      <w:r>
        <w:t>Zatvaranje financijske konstrukcije s domaćim i inozemnim bankama službeno je završe</w:t>
      </w:r>
      <w:r>
        <w:t>no 31. kolovoza 2023., prvim povlačenjem iz terminskog kredita. Predviđeni rok dovršetka svih radova Pod-faze 2B2-2 i 2B2-3 jest 38 mjeseci, odnosno kraj listopada 2026. godine. Određeni projekti pojačanog održavanja, koji su ugovoreni u 2024., realizirani</w:t>
      </w:r>
      <w:r>
        <w:t xml:space="preserve"> su u 2025. godini, a među njima je najveći i najkompleksniji - Rekonstrukcija stare cijevi tunela Učka. Radovi na rekonstrukciji, uz prilagodbu stare cijevi za jednosmjerni promet, između ostalog, obuhvaćaju izgradnju podnožnog svoda u zoni “SOS 7”, izrad</w:t>
      </w:r>
      <w:r>
        <w:t xml:space="preserve">u nove odvodnje i kolničke konstrukcije te tunelsku opremu (prometna signalizacija i oprema, rasvjeta, vatrodojava i protupožarna zaštita, ventilacija, senzorika, radio-sustav). </w:t>
      </w:r>
    </w:p>
    <w:p w:rsidR="00895DD6" w:rsidRDefault="00F31687">
      <w:r>
        <w:t>Radovi su započeli 1. listopada 2024., a završeni su početkom rujna 2025., te</w:t>
      </w:r>
      <w:r>
        <w:t xml:space="preserve"> je dana 4.9.2025. uspješno provedeno požarno ispitivanje. Tehnički pregled je održan 8. rujna 2025., a rekonstruirana stara cijev tunela Učka puštena je u promet 26. rujna 2025. godine.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 xml:space="preserve">Broj kilometara novoizgrađenih autocesta u nadležnosti Bina-Istre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Koncesijskim ugovorom između Republike Hrvatske i društva Bina Istra d.d.</w:t>
            </w:r>
            <w:r>
              <w:rPr>
                <w:rFonts w:cs="Times New Roman"/>
              </w:rPr>
              <w:t xml:space="preserve"> se nadoknađuje financijski doprinos, koji predstavlja razliku između predviđenih prihoda od cestarine i troškova definiranih Ugovorom o koncesiji, a koji se investira u izgradnju autocesta u nadležnosti društva Bina Istra d.d</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4,10</w:t>
            </w:r>
          </w:p>
        </w:tc>
        <w:tc>
          <w:tcPr>
            <w:tcW w:w="1020" w:type="dxa"/>
          </w:tcPr>
          <w:p w:rsidR="00895DD6" w:rsidRDefault="00F31687">
            <w:pPr>
              <w:pStyle w:val="CellColumn"/>
              <w:jc w:val="right"/>
            </w:pPr>
            <w:r>
              <w:rPr>
                <w:rFonts w:cs="Times New Roman"/>
              </w:rPr>
              <w:t>Bina-Istra d.d</w:t>
            </w:r>
          </w:p>
        </w:tc>
        <w:tc>
          <w:tcPr>
            <w:tcW w:w="1020" w:type="dxa"/>
          </w:tcPr>
          <w:p w:rsidR="00895DD6" w:rsidRDefault="00F31687">
            <w:pPr>
              <w:pStyle w:val="CellColumn"/>
              <w:jc w:val="right"/>
            </w:pPr>
            <w:r>
              <w:rPr>
                <w:rFonts w:cs="Times New Roman"/>
              </w:rPr>
              <w:t>4,10</w:t>
            </w:r>
          </w:p>
        </w:tc>
        <w:tc>
          <w:tcPr>
            <w:tcW w:w="1020" w:type="dxa"/>
          </w:tcPr>
          <w:p w:rsidR="00895DD6" w:rsidRDefault="00F31687">
            <w:pPr>
              <w:pStyle w:val="CellColumn"/>
              <w:jc w:val="right"/>
            </w:pPr>
            <w:r>
              <w:rPr>
                <w:rFonts w:cs="Times New Roman"/>
              </w:rPr>
              <w:t>4</w:t>
            </w:r>
            <w:r>
              <w:rPr>
                <w:rFonts w:cs="Times New Roman"/>
              </w:rPr>
              <w:t>,10</w:t>
            </w:r>
          </w:p>
        </w:tc>
      </w:tr>
      <w:tr w:rsidR="00895DD6">
        <w:trPr>
          <w:jc w:val="center"/>
        </w:trPr>
        <w:tc>
          <w:tcPr>
            <w:tcW w:w="2551" w:type="dxa"/>
          </w:tcPr>
          <w:p w:rsidR="00895DD6" w:rsidRDefault="00F31687">
            <w:pPr>
              <w:pStyle w:val="CellColumn"/>
              <w:jc w:val="left"/>
            </w:pPr>
            <w:r>
              <w:rPr>
                <w:rFonts w:cs="Times New Roman"/>
              </w:rPr>
              <w:t xml:space="preserve">Broj kilometara investicijski održavanih autocesta u nadležnosti Bina-Istre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Koncesijskim ugovorom između Republike Hrvatske i društva Bina Istra d.d. se nadoknađuje financijski doprinos, koji predstavlja razliku između predviđenih prihoda od cestarine i troškova definiranih Ugovorom o koncesiji, a koji se investira u održavanje au</w:t>
            </w:r>
            <w:r>
              <w:rPr>
                <w:rFonts w:cs="Times New Roman"/>
              </w:rPr>
              <w:t>tocesta u nadležnosti društva Bina Istra d.d.</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15,60</w:t>
            </w:r>
          </w:p>
        </w:tc>
        <w:tc>
          <w:tcPr>
            <w:tcW w:w="1020" w:type="dxa"/>
          </w:tcPr>
          <w:p w:rsidR="00895DD6" w:rsidRDefault="00F31687">
            <w:pPr>
              <w:pStyle w:val="CellColumn"/>
              <w:jc w:val="right"/>
            </w:pPr>
            <w:r>
              <w:rPr>
                <w:rFonts w:cs="Times New Roman"/>
              </w:rPr>
              <w:t>Bina-Istra d.d.</w:t>
            </w:r>
          </w:p>
        </w:tc>
        <w:tc>
          <w:tcPr>
            <w:tcW w:w="1020" w:type="dxa"/>
          </w:tcPr>
          <w:p w:rsidR="00895DD6" w:rsidRDefault="00F31687">
            <w:pPr>
              <w:pStyle w:val="CellColumn"/>
              <w:jc w:val="right"/>
            </w:pPr>
            <w:r>
              <w:rPr>
                <w:rFonts w:cs="Times New Roman"/>
              </w:rPr>
              <w:t>16,00</w:t>
            </w:r>
          </w:p>
        </w:tc>
        <w:tc>
          <w:tcPr>
            <w:tcW w:w="1020" w:type="dxa"/>
          </w:tcPr>
          <w:p w:rsidR="00895DD6" w:rsidRDefault="00F31687">
            <w:pPr>
              <w:pStyle w:val="CellColumn"/>
              <w:jc w:val="right"/>
            </w:pPr>
            <w:r>
              <w:rPr>
                <w:rFonts w:cs="Times New Roman"/>
              </w:rPr>
              <w:t>16,00</w:t>
            </w:r>
          </w:p>
        </w:tc>
      </w:tr>
    </w:tbl>
    <w:p w:rsidR="00895DD6" w:rsidRDefault="00895DD6">
      <w:pPr>
        <w:jc w:val="left"/>
      </w:pPr>
    </w:p>
    <w:p w:rsidR="00895DD6" w:rsidRDefault="00F31687">
      <w:pPr>
        <w:pStyle w:val="Heading4"/>
      </w:pPr>
      <w:r>
        <w:t>A819085 JAVNE ISPRAVE KOJIMA SE OSTVARUJU POVLASTICE U PROMETU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w:t>
            </w:r>
            <w:r>
              <w:rPr>
                <w:rFonts w:cs="Times New Roman"/>
              </w:rPr>
              <w:t>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A819085-JAVNE ISPRAVE KOJIMA SE OSTVARUJU POVLASTICE U PROMETU</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1.583.913</w:t>
            </w:r>
          </w:p>
        </w:tc>
        <w:tc>
          <w:tcPr>
            <w:tcW w:w="2041" w:type="dxa"/>
          </w:tcPr>
          <w:p w:rsidR="00895DD6" w:rsidRDefault="00F31687">
            <w:pPr>
              <w:pStyle w:val="CellColumn"/>
              <w:jc w:val="right"/>
            </w:pPr>
            <w:r>
              <w:rPr>
                <w:rFonts w:cs="Times New Roman"/>
              </w:rPr>
              <w:t>1.436.672</w:t>
            </w:r>
          </w:p>
        </w:tc>
        <w:tc>
          <w:tcPr>
            <w:tcW w:w="1224" w:type="dxa"/>
          </w:tcPr>
          <w:p w:rsidR="00895DD6" w:rsidRDefault="00F31687">
            <w:pPr>
              <w:pStyle w:val="CellColumn"/>
              <w:jc w:val="right"/>
            </w:pPr>
            <w:r>
              <w:rPr>
                <w:rFonts w:cs="Times New Roman"/>
              </w:rPr>
              <w:t>90,7</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povlasticama u prometu </w:t>
      </w:r>
    </w:p>
    <w:p w:rsidR="00895DD6" w:rsidRDefault="00F31687">
      <w:r>
        <w:t>- Pravni okvir provedbe Zakona čine sljedeći podzakonski akti: Pravilnik o Europskoj parkirališnoj karti za osobe s invaliditetom, Pravilnik o Europskoj i Nacionalnoj iskaznici za osobe s invaliditetom, Pravilnik o načinu ostvarivanja prava na povlastice u</w:t>
      </w:r>
      <w:r>
        <w:t xml:space="preserve"> prometu osobama s invaliditetom (NN 5/2024) </w:t>
      </w:r>
    </w:p>
    <w:p w:rsidR="00895DD6" w:rsidRDefault="00F31687">
      <w:r>
        <w:t>- Odluka o visini troškova izdavanja Europske i Nacionalne iskaznice za osobe s invaliditetom, Europske parkirališne karte Zakon o proračunu za osobe s invaliditetom i Parkirališne karte udruge</w:t>
      </w:r>
    </w:p>
    <w:p w:rsidR="00895DD6" w:rsidRDefault="00F31687">
      <w:pPr>
        <w:pStyle w:val="Heading8"/>
        <w:jc w:val="left"/>
      </w:pPr>
      <w:r>
        <w:t>Opis aktivnosti</w:t>
      </w:r>
    </w:p>
    <w:p w:rsidR="00895DD6" w:rsidRDefault="00F31687">
      <w:r>
        <w:t>Uvođenjem novog Zakona o povlasticama u prometu (NN 133/22) uspostavljen je i implementiran sustav koji je značajno olakšao ostvarivanje povlastica u prometu, posebice osobama s invaliditetom. Sva prava osoba s invaliditetom evidentiraju se kroz jedinstven</w:t>
      </w:r>
      <w:r>
        <w:t>i informacijski sustav, a ostvaruju se putem Nacionalne iskaznice za osobe s invaliditetom. Uz nacionalnu iskaznicu, kao obostrani dokument, izdaje se i EU iskaznica za osobe s invaliditetom, koje sukladno zakonu ostvaruju pravo na parkirališnu kartu za os</w:t>
      </w:r>
      <w:r>
        <w:t xml:space="preserve">obe s invaliditetom, a ista se kroz sustav izdaje kao zaštićena parkirališna karta. </w:t>
      </w:r>
    </w:p>
    <w:p w:rsidR="00895DD6" w:rsidRDefault="00F31687">
      <w:r>
        <w:lastRenderedPageBreak/>
        <w:t>Središnji registar i Informacijski sustav povlastica u prometu uspostavljeni su tijekom 2024. godine, a početno izdavanje svih isprava financirano je putem EU NPOO projekt</w:t>
      </w:r>
      <w:r>
        <w:t>a „Unaprjeđenje sustava korištenja prava osoba s invaliditetom“. Nakon uspostave projekta, krajem 2024. godine, daljnje financiranje sustava te troškova izdavanja isprava započelo je iz sredstava državnog proračuna u okviru aktivnosti Ministarstva mora, pr</w:t>
      </w:r>
      <w:r>
        <w:t>ometa i infrastrukture.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izdanih iskaznica i parkirališnih karata</w:t>
            </w:r>
          </w:p>
        </w:tc>
        <w:tc>
          <w:tcPr>
            <w:tcW w:w="2551" w:type="dxa"/>
          </w:tcPr>
          <w:p w:rsidR="00895DD6" w:rsidRDefault="00F31687">
            <w:pPr>
              <w:pStyle w:val="CellColumn"/>
              <w:jc w:val="left"/>
            </w:pPr>
            <w:r>
              <w:rPr>
                <w:rFonts w:cs="Times New Roman"/>
              </w:rPr>
              <w:t>Na temelju Zakona o povlasticama u prometu i Odluke ministra AKD-u se isplaćuju novčana sredstva za izdane iskaznice i parkirališne karte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AKD</w:t>
            </w:r>
          </w:p>
        </w:tc>
        <w:tc>
          <w:tcPr>
            <w:tcW w:w="1020" w:type="dxa"/>
          </w:tcPr>
          <w:p w:rsidR="00895DD6" w:rsidRDefault="00F31687">
            <w:pPr>
              <w:pStyle w:val="CellColumn"/>
              <w:jc w:val="right"/>
            </w:pPr>
            <w:r>
              <w:rPr>
                <w:rFonts w:cs="Times New Roman"/>
              </w:rPr>
              <w:t>15.000</w:t>
            </w:r>
          </w:p>
        </w:tc>
        <w:tc>
          <w:tcPr>
            <w:tcW w:w="1020" w:type="dxa"/>
          </w:tcPr>
          <w:p w:rsidR="00895DD6" w:rsidRDefault="00F31687">
            <w:pPr>
              <w:pStyle w:val="CellColumn"/>
              <w:jc w:val="right"/>
            </w:pPr>
            <w:r>
              <w:rPr>
                <w:rFonts w:cs="Times New Roman"/>
              </w:rPr>
              <w:t>15.421</w:t>
            </w:r>
          </w:p>
        </w:tc>
      </w:tr>
    </w:tbl>
    <w:p w:rsidR="00895DD6" w:rsidRDefault="00895DD6">
      <w:pPr>
        <w:jc w:val="left"/>
      </w:pPr>
    </w:p>
    <w:p w:rsidR="00895DD6" w:rsidRDefault="00F31687">
      <w:pPr>
        <w:pStyle w:val="Heading4"/>
      </w:pPr>
      <w:r>
        <w:t>A820029 NAKNADA CESTARINA ZA NATO I EUFOR VOZILA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w:t>
            </w:r>
            <w:r>
              <w:rPr>
                <w:rFonts w:cs="Times New Roman"/>
              </w:rPr>
              <w:t>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A820029-NAKNADA CESTARINA ZA NATO I EUFOR VOZILA</w:t>
            </w:r>
          </w:p>
        </w:tc>
        <w:tc>
          <w:tcPr>
            <w:tcW w:w="2041" w:type="dxa"/>
          </w:tcPr>
          <w:p w:rsidR="00895DD6" w:rsidRDefault="00F31687">
            <w:pPr>
              <w:pStyle w:val="CellColumn"/>
              <w:jc w:val="right"/>
            </w:pPr>
            <w:r>
              <w:rPr>
                <w:rFonts w:cs="Times New Roman"/>
              </w:rPr>
              <w:t>85.180</w:t>
            </w:r>
          </w:p>
        </w:tc>
        <w:tc>
          <w:tcPr>
            <w:tcW w:w="2041" w:type="dxa"/>
          </w:tcPr>
          <w:p w:rsidR="00895DD6" w:rsidRDefault="00F31687">
            <w:pPr>
              <w:pStyle w:val="CellColumn"/>
              <w:jc w:val="right"/>
            </w:pPr>
            <w:r>
              <w:rPr>
                <w:rFonts w:cs="Times New Roman"/>
              </w:rPr>
              <w:t>78.108</w:t>
            </w:r>
          </w:p>
        </w:tc>
        <w:tc>
          <w:tcPr>
            <w:tcW w:w="2041" w:type="dxa"/>
          </w:tcPr>
          <w:p w:rsidR="00895DD6" w:rsidRDefault="00F31687">
            <w:pPr>
              <w:pStyle w:val="CellColumn"/>
              <w:jc w:val="right"/>
            </w:pPr>
            <w:r>
              <w:rPr>
                <w:rFonts w:cs="Times New Roman"/>
              </w:rPr>
              <w:t>78.108</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91,7</w:t>
            </w:r>
          </w:p>
        </w:tc>
      </w:tr>
    </w:tbl>
    <w:p w:rsidR="00895DD6" w:rsidRDefault="00895DD6">
      <w:pPr>
        <w:jc w:val="left"/>
      </w:pPr>
    </w:p>
    <w:p w:rsidR="00895DD6" w:rsidRDefault="00F31687">
      <w:pPr>
        <w:pStyle w:val="Heading8"/>
        <w:jc w:val="left"/>
      </w:pPr>
      <w:r>
        <w:t>Zakonske i druge pravne osnove</w:t>
      </w:r>
    </w:p>
    <w:p w:rsidR="00895DD6" w:rsidRDefault="00F31687">
      <w:r>
        <w:t>- Sporazum između Republike Hrvatske i Organizacije Sjevernoatlantskog ugovora (NATO) o pravnom položaju NATO-a i njegovog osoblja, od 23. studenoga 1995. godine - prilog B, Aneks 1A Općeg okvirnog sporazuma za mir u Bosni i Hercegovini (Daytonski sporazum</w:t>
      </w:r>
      <w:r>
        <w:t xml:space="preserve">), od 14. prosinca 1995. godine, prilog B (Appendix B to Annex 1A) </w:t>
      </w:r>
    </w:p>
    <w:p w:rsidR="00895DD6" w:rsidRDefault="00F31687">
      <w:r>
        <w:t>- Tehnički dogovor između Vlade Republike Hrvatske i NATO-a, od 1. ožujka 1996. godine – u aneksu br. 9. Customs and border crossing, stranici 2. poglavlja Unacocompanied equipment, provisions, supplies točci 7.a. Military transport, (iii) nalazi se podata</w:t>
      </w:r>
      <w:r>
        <w:t xml:space="preserve">k, kojim je određeno da NATO i EUFOR vozila ne plaćaju cestarinu u Republici Hrvatskoj </w:t>
      </w:r>
    </w:p>
    <w:p w:rsidR="00895DD6" w:rsidRDefault="00F31687">
      <w:r>
        <w:t>- Pravilnik o načinu, postupku i dinamici ostvarivanja prava na nadoknadu iznosa godišnje naknade i cestarine, članak 1.</w:t>
      </w:r>
    </w:p>
    <w:p w:rsidR="00895DD6" w:rsidRDefault="00F31687">
      <w:pPr>
        <w:pStyle w:val="Heading8"/>
        <w:jc w:val="left"/>
      </w:pPr>
      <w:r>
        <w:t>Opis aktivnosti</w:t>
      </w:r>
    </w:p>
    <w:p w:rsidR="00895DD6" w:rsidRDefault="00F31687">
      <w:r>
        <w:t>Vozila kojima upravljaju djelat</w:t>
      </w:r>
      <w:r>
        <w:t>nici NATO-a i EUFOR-a, prilikom prolaska kroz naplatne postaje na svim autocestama u Republici Hrvatskoj, oslobođeni su plaćanja cestarine. Naknada se obračunava prema stvarno evidentiranim prolascima i nadoknađuje se Hrvatskim autocestama d.o.o., Autocest</w:t>
      </w:r>
      <w:r>
        <w:t xml:space="preserve">i Zagreb-Macelj d.o.o. i Bina Istri d.d. iz državnog proračuna Republike Hrvatske, a sredstva se osiguravaju na ovoj aktivnosti. </w:t>
      </w:r>
    </w:p>
    <w:p w:rsidR="00895DD6" w:rsidRDefault="00F31687">
      <w:r>
        <w:t>Navedena sredstva su utrošena za podmirivanje neostvarenih prihoda od cestarine za prolaske vozila kojima upravljaju djelatnic</w:t>
      </w:r>
      <w:r>
        <w:t>i NATO-a i EUFOR-a, a oslobođeni su od plaćanja cestarine sukladno navedenim zakonskim i pravnim osnovama. Odstupanje od ciljane vrijednosti uzrokovano je nemogućnošću validne procjene broja prolazaka koji su u ovisnosti s procedurama međunarodnih organiza</w:t>
      </w:r>
      <w:r>
        <w:t>cija NATO i EUFOR.</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 xml:space="preserve">Broj prolazaka NATO i EUFOR vozila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Temeljem sporazuma isplaćuje se naknada za vozila EUFOR-a i NATO-a koji su oslobođeni od plaćanja cestarine u RH</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7.553</w:t>
            </w:r>
          </w:p>
        </w:tc>
        <w:tc>
          <w:tcPr>
            <w:tcW w:w="1020" w:type="dxa"/>
          </w:tcPr>
          <w:p w:rsidR="00895DD6" w:rsidRDefault="00F31687">
            <w:pPr>
              <w:pStyle w:val="CellColumn"/>
              <w:jc w:val="right"/>
            </w:pPr>
            <w:r>
              <w:rPr>
                <w:rFonts w:cs="Times New Roman"/>
              </w:rPr>
              <w:t xml:space="preserve">Upravitelj autocesta     </w:t>
            </w:r>
          </w:p>
          <w:p w:rsidR="00895DD6" w:rsidRDefault="00F31687">
            <w:pPr>
              <w:pStyle w:val="CellColumn"/>
              <w:jc w:val="right"/>
            </w:pPr>
            <w:r>
              <w:rPr>
                <w:rFonts w:cs="Times New Roman"/>
              </w:rPr>
              <w:t>(HAC, AZM, Bina-Istra)</w:t>
            </w:r>
          </w:p>
        </w:tc>
        <w:tc>
          <w:tcPr>
            <w:tcW w:w="1020" w:type="dxa"/>
          </w:tcPr>
          <w:p w:rsidR="00895DD6" w:rsidRDefault="00F31687">
            <w:pPr>
              <w:pStyle w:val="CellColumn"/>
              <w:jc w:val="right"/>
            </w:pPr>
            <w:r>
              <w:rPr>
                <w:rFonts w:cs="Times New Roman"/>
              </w:rPr>
              <w:t>7.750</w:t>
            </w:r>
          </w:p>
        </w:tc>
        <w:tc>
          <w:tcPr>
            <w:tcW w:w="1020" w:type="dxa"/>
          </w:tcPr>
          <w:p w:rsidR="00895DD6" w:rsidRDefault="00F31687">
            <w:pPr>
              <w:pStyle w:val="CellColumn"/>
              <w:jc w:val="right"/>
            </w:pPr>
            <w:r>
              <w:rPr>
                <w:rFonts w:cs="Times New Roman"/>
              </w:rPr>
              <w:t>7.823</w:t>
            </w:r>
          </w:p>
        </w:tc>
      </w:tr>
    </w:tbl>
    <w:p w:rsidR="00895DD6" w:rsidRDefault="00895DD6">
      <w:pPr>
        <w:jc w:val="left"/>
      </w:pPr>
    </w:p>
    <w:p w:rsidR="00895DD6" w:rsidRDefault="00F31687">
      <w:pPr>
        <w:pStyle w:val="Heading4"/>
      </w:pPr>
      <w:r>
        <w:t>K570344 PROVEDBA UGOVORA O KONCESIJI - AUTOCESTA ZAGREB-MACELJ</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K570344-PROVEDBA UGOVORA O KONCESIJI - AUTOCESTA ZAGREB-MACELJ</w:t>
            </w:r>
          </w:p>
        </w:tc>
        <w:tc>
          <w:tcPr>
            <w:tcW w:w="2041" w:type="dxa"/>
          </w:tcPr>
          <w:p w:rsidR="00895DD6" w:rsidRDefault="00F31687">
            <w:pPr>
              <w:pStyle w:val="CellColumn"/>
              <w:jc w:val="right"/>
            </w:pPr>
            <w:r>
              <w:rPr>
                <w:rFonts w:cs="Times New Roman"/>
              </w:rPr>
              <w:t>19.543.225</w:t>
            </w:r>
          </w:p>
        </w:tc>
        <w:tc>
          <w:tcPr>
            <w:tcW w:w="2041" w:type="dxa"/>
          </w:tcPr>
          <w:p w:rsidR="00895DD6" w:rsidRDefault="00F31687">
            <w:pPr>
              <w:pStyle w:val="CellColumn"/>
              <w:jc w:val="right"/>
            </w:pPr>
            <w:r>
              <w:rPr>
                <w:rFonts w:cs="Times New Roman"/>
              </w:rPr>
              <w:t>17.060.047</w:t>
            </w:r>
          </w:p>
        </w:tc>
        <w:tc>
          <w:tcPr>
            <w:tcW w:w="2041" w:type="dxa"/>
          </w:tcPr>
          <w:p w:rsidR="00895DD6" w:rsidRDefault="00F31687">
            <w:pPr>
              <w:pStyle w:val="CellColumn"/>
              <w:jc w:val="right"/>
            </w:pPr>
            <w:r>
              <w:rPr>
                <w:rFonts w:cs="Times New Roman"/>
              </w:rPr>
              <w:t>17.060.045</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87,3</w:t>
            </w:r>
          </w:p>
        </w:tc>
      </w:tr>
    </w:tbl>
    <w:p w:rsidR="00895DD6" w:rsidRDefault="00895DD6">
      <w:pPr>
        <w:jc w:val="left"/>
      </w:pPr>
    </w:p>
    <w:p w:rsidR="00895DD6" w:rsidRDefault="00F31687">
      <w:pPr>
        <w:pStyle w:val="Heading8"/>
        <w:jc w:val="left"/>
      </w:pPr>
      <w:r>
        <w:t>Zakonske i druge pravne osnove</w:t>
      </w:r>
    </w:p>
    <w:p w:rsidR="00895DD6" w:rsidRDefault="00F31687">
      <w:r>
        <w:t>- Ugovor o koncesiji između Republike Hrvatske i Autoceste Zagreb-Macelj d.o.o., za financiranje, građenje i upravljanje autocestom Zagreb-Macelj, od 11. srpnja 2003. godine, izmjene Ugovora o koncesiji između Republike Hrvat</w:t>
      </w:r>
      <w:r>
        <w:t xml:space="preserve">ske i Autoceste Zagreb-Macelj d.o.o. od 27. studenoga 2003. godine, 20. srpnja 2004. godine, 30. lipnja 2008. godine, 23. svibnja 2011. godine (u daljnjem tekstu: Ugovor o koncesiji)   </w:t>
      </w:r>
    </w:p>
    <w:p w:rsidR="00895DD6" w:rsidRDefault="00F31687">
      <w:r>
        <w:t xml:space="preserve">- Sporazum o cestarini od 3. veljače 2006. godine, sklopljen između Republike Hrvatske i Autoceste Zagreb-Macelj d.o.o. 2011. godine, Aneks br. 1 Sporazuma o cestarini, sklopljen 29. rujna 2006. godine (u daljnjem tekstu: Sporazum o cestarini)  </w:t>
      </w:r>
    </w:p>
    <w:p w:rsidR="00895DD6" w:rsidRDefault="00F31687">
      <w:r>
        <w:t>- Ugovor o</w:t>
      </w:r>
      <w:r>
        <w:t xml:space="preserve"> doprinosu za pad prometa u odnosu na projektiranje, građenje, financiranje i upravljanje naplatnom autocestom Zagreb-Macelj u Hrvatskoj (TSCA) od 2. rujna 2003. godine, prva izmjena od 20. srpnja 2004. godine, druga izmjena od 18. rujna 2006. godine i tre</w:t>
      </w:r>
      <w:r>
        <w:t xml:space="preserve">ća izmjena 30. lipnja 2008. godine (u daljnjem tekstu: Ugovor o doprinosu za pad prometa) </w:t>
      </w:r>
    </w:p>
    <w:p w:rsidR="00895DD6" w:rsidRDefault="00F31687">
      <w:r>
        <w:t>- Sporazum o uređenju međusobnih odnosa u vezi održavanja dijela cestovnih objekata na autocesti A2 Zagreb-Macelj od 7. svibnja 2018. godine, člancima 41.2 i 41.8 st</w:t>
      </w:r>
      <w:r>
        <w:t xml:space="preserve">avkom (e) Ugovora te člankom 29. Zakona o cestama (u daljnjem tekstu: Sporazum o održavanju) </w:t>
      </w:r>
    </w:p>
    <w:p w:rsidR="00895DD6" w:rsidRDefault="00F31687">
      <w:r>
        <w:t>- Sporazum o uređenju međusobnih odnosa u vezi pripreme projekte dokumentacije za izgradnju fotonaponskog sustava na autocesti A2 Zagreb-Macelj od 21. lipnja 2023</w:t>
      </w:r>
      <w:r>
        <w:t xml:space="preserve">. godine i izrađenoj projektnoj dokumentaciji i pripadajućim troškovnicima. </w:t>
      </w:r>
    </w:p>
    <w:p w:rsidR="00895DD6" w:rsidRDefault="00F31687">
      <w:r>
        <w:t xml:space="preserve">- Zakon o cestama i Pravilnik o prometnim znakovima, signalizaciji i opremi na cestama </w:t>
      </w:r>
    </w:p>
    <w:p w:rsidR="00895DD6" w:rsidRDefault="00F31687">
      <w:r>
        <w:t xml:space="preserve">- Pravilnik o minimalnim sigurnosnim zahtjevima za tunele </w:t>
      </w:r>
    </w:p>
    <w:p w:rsidR="00895DD6" w:rsidRDefault="00F31687">
      <w:r>
        <w:t>- Zakon o zaštiti od svjetlosnog</w:t>
      </w:r>
      <w:r>
        <w:t xml:space="preserve"> onečišćenja</w:t>
      </w:r>
    </w:p>
    <w:p w:rsidR="00895DD6" w:rsidRDefault="00F31687">
      <w:pPr>
        <w:pStyle w:val="Heading8"/>
        <w:jc w:val="left"/>
      </w:pPr>
      <w:r>
        <w:t>Opis aktivnosti</w:t>
      </w:r>
    </w:p>
    <w:p w:rsidR="00895DD6" w:rsidRDefault="00F31687">
      <w:r>
        <w:t>Sva doznačena sredstva su utrošena za podmirenje kreditnih obveza te za troškove iz operativnog poslovanja društva Autocesta Zagreb-Macelj d.o.o..</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w:t>
            </w:r>
            <w:r>
              <w:rPr>
                <w:rFonts w:cs="Times New Roman"/>
              </w:rPr>
              <w:t>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 xml:space="preserve">Broj kilometara investicijski održavanih autocesta u nadležnosti AZM-a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Sukladno obvezama proizašlih iz Ugovora o koncesiji dio sredstava namijenjen je za održavanje autocesta u nadležnosti AZM-a</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Autocesta Zagreb-Macelj d.o.o.</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7</w:t>
            </w:r>
          </w:p>
        </w:tc>
      </w:tr>
    </w:tbl>
    <w:p w:rsidR="00895DD6" w:rsidRDefault="00895DD6">
      <w:pPr>
        <w:jc w:val="left"/>
      </w:pPr>
    </w:p>
    <w:p w:rsidR="00895DD6" w:rsidRDefault="00F31687">
      <w:pPr>
        <w:pStyle w:val="Heading4"/>
      </w:pPr>
      <w:r>
        <w:t xml:space="preserve">K754049 CEF 2017.-2019. - CROCODILE II CROATIA - UVOĐENJE INTELIGENTNIH PROMETNIH SUSTAVA </w:t>
      </w:r>
      <w:r>
        <w:t>(ITS) NA TNT CESTAMA</w:t>
      </w:r>
    </w:p>
    <w:tbl>
      <w:tblPr>
        <w:tblStyle w:val="StilTablice"/>
        <w:tblW w:w="10206" w:type="dxa"/>
        <w:jc w:val="center"/>
        <w:tblLook w:val="04A0" w:firstRow="1" w:lastRow="0" w:firstColumn="1" w:lastColumn="0" w:noHBand="0" w:noVBand="1"/>
      </w:tblPr>
      <w:tblGrid>
        <w:gridCol w:w="1647"/>
        <w:gridCol w:w="2037"/>
        <w:gridCol w:w="2037"/>
        <w:gridCol w:w="2038"/>
        <w:gridCol w:w="1223"/>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K754049-CEF 2017.-2019. - CROCODILE II CROATIA - UVOĐENJE INTELIGENTNIH PROMETNIH SUSTAVA (ITS) NA TNT CESTAMA</w:t>
            </w:r>
          </w:p>
        </w:tc>
        <w:tc>
          <w:tcPr>
            <w:tcW w:w="2041" w:type="dxa"/>
          </w:tcPr>
          <w:p w:rsidR="00895DD6" w:rsidRDefault="00F31687">
            <w:pPr>
              <w:pStyle w:val="CellColumn"/>
              <w:jc w:val="right"/>
            </w:pPr>
            <w:r>
              <w:rPr>
                <w:rFonts w:cs="Times New Roman"/>
              </w:rPr>
              <w:t>796.650</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44.350</w:t>
            </w:r>
          </w:p>
        </w:tc>
        <w:tc>
          <w:tcPr>
            <w:tcW w:w="1224" w:type="dxa"/>
          </w:tcPr>
          <w:p w:rsidR="00895DD6" w:rsidRDefault="00F31687">
            <w:pPr>
              <w:pStyle w:val="CellColumn"/>
              <w:jc w:val="right"/>
            </w:pPr>
            <w:r>
              <w:rPr>
                <w:rFonts w:cs="Times New Roman"/>
              </w:rPr>
              <w:t>0,0</w:t>
            </w:r>
          </w:p>
        </w:tc>
        <w:tc>
          <w:tcPr>
            <w:tcW w:w="1224" w:type="dxa"/>
          </w:tcPr>
          <w:p w:rsidR="00895DD6" w:rsidRDefault="00F31687">
            <w:pPr>
              <w:pStyle w:val="CellColumn"/>
              <w:jc w:val="right"/>
            </w:pPr>
            <w:r>
              <w:rPr>
                <w:rFonts w:cs="Times New Roman"/>
              </w:rPr>
              <w:t>5,6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Grant Agreement number INEA/CEF/TRAN/M2015/1136493, Zakon o cestama, članak 72. b stavak 3.  </w:t>
      </w:r>
    </w:p>
    <w:p w:rsidR="00895DD6" w:rsidRDefault="00F31687">
      <w:r>
        <w:t xml:space="preserve">- Nacionalni program za razvoj i uvođenje Inteligentnih transportnih sustava u cestovnom prometu za razdoblje od 2014. do 2018. godine  </w:t>
      </w:r>
    </w:p>
    <w:p w:rsidR="00895DD6" w:rsidRDefault="00F31687">
      <w:r>
        <w:t xml:space="preserve">- Direktiva 2010/40/EU </w:t>
      </w:r>
      <w:r>
        <w:t xml:space="preserve">Europskog parlamenta i Vijeća od 7. srpnja 2010. godine o okviru za uvođenje Inteligentnih transportnih sustava u cestovnom prometu i za veze s ostalim vrstama prijevoza  </w:t>
      </w:r>
    </w:p>
    <w:p w:rsidR="00895DD6" w:rsidRDefault="00F31687">
      <w:r>
        <w:t>- Delegirana uredba br. 886/2013 - za prioritetnu mjeru (c) podaci i postupci za pru</w:t>
      </w:r>
      <w:r>
        <w:t xml:space="preserve">žanje korisnicima, gdje je to moguće, besplatnih osnovnih općih prometnih informacija u vezi s cestovnom sigurnosti,  </w:t>
      </w:r>
    </w:p>
    <w:p w:rsidR="00895DD6" w:rsidRDefault="00F31687">
      <w:r>
        <w:t>- Delegirana uredba br. 2015/962 - za prioritetnu mjeru (b) pružanje usluga prometnih informacija u cijeloj Europskoj uniji u realnom vre</w:t>
      </w:r>
      <w:r>
        <w:t xml:space="preserve">menu,   </w:t>
      </w:r>
    </w:p>
    <w:p w:rsidR="00895DD6" w:rsidRDefault="00F31687">
      <w:r>
        <w:t>- Delegirana uredba br. 885/2013 - za prioritetnu mjeru (e) pružanje usluga informiranja o sigurnim i zaštićenim parkirališnim mjestima za teretna i gospodarska vozila</w:t>
      </w:r>
    </w:p>
    <w:p w:rsidR="00895DD6" w:rsidRDefault="00F31687">
      <w:pPr>
        <w:pStyle w:val="Heading8"/>
        <w:jc w:val="left"/>
      </w:pPr>
      <w:r>
        <w:t>Opis aktivnosti</w:t>
      </w:r>
    </w:p>
    <w:p w:rsidR="00895DD6" w:rsidRDefault="00F31687">
      <w:r>
        <w:t>Provođenje ovog projekta planirano je kroz četiri aktivnosti, i</w:t>
      </w:r>
      <w:r>
        <w:t xml:space="preserve"> to: </w:t>
      </w:r>
    </w:p>
    <w:p w:rsidR="00895DD6" w:rsidRDefault="00F31687">
      <w:r>
        <w:t xml:space="preserve">1) Upravljanje projektom i prekogranična suradnja, uključujući informacije i vidljivost,    </w:t>
      </w:r>
    </w:p>
    <w:p w:rsidR="00895DD6" w:rsidRDefault="00F31687">
      <w:r>
        <w:t xml:space="preserve">2) Implementacija standarda DATEX II u sustavu upravljanja i kontrole prometa,   </w:t>
      </w:r>
    </w:p>
    <w:p w:rsidR="00895DD6" w:rsidRDefault="00F31687">
      <w:r>
        <w:t xml:space="preserve">3) Implementacija Nacionalne pristupne točke,   </w:t>
      </w:r>
    </w:p>
    <w:p w:rsidR="00895DD6" w:rsidRDefault="00F31687">
      <w:r>
        <w:t>4) Implementacija priorite</w:t>
      </w:r>
      <w:r>
        <w:t xml:space="preserve">tnih aktivnosti (c) i (e), temeljem kojih se prati provedba projekta.    </w:t>
      </w:r>
    </w:p>
    <w:p w:rsidR="00895DD6" w:rsidRDefault="00F31687">
      <w:r>
        <w:t xml:space="preserve">Unutar navedenih aktivnosti sadržane su podaktivnosti projekta kako slijedi: </w:t>
      </w:r>
    </w:p>
    <w:p w:rsidR="00895DD6" w:rsidRDefault="00F31687">
      <w:r>
        <w:t>1.Informacije i vidljivost - 1. Konferencija za promociju projekta, uključujući 100 komada informativnih</w:t>
      </w:r>
      <w:r>
        <w:t xml:space="preserve"> brošura s glavnim ciljevima, pristupom i očekivanim ishodom projekta </w:t>
      </w:r>
    </w:p>
    <w:p w:rsidR="00895DD6" w:rsidRDefault="00F31687">
      <w:r>
        <w:t xml:space="preserve">2. Internetska stranica Crocodile II Croatia </w:t>
      </w:r>
    </w:p>
    <w:p w:rsidR="00895DD6" w:rsidRDefault="00F31687">
      <w:r>
        <w:t xml:space="preserve">3. Informacije i vidljivost </w:t>
      </w:r>
    </w:p>
    <w:p w:rsidR="00895DD6" w:rsidRDefault="00F31687">
      <w:r>
        <w:lastRenderedPageBreak/>
        <w:t>4. Unaprjeđenje centara za upravljanje tunelima, Unapređenje Regionalnih centara za prometno upravljanje, uspo</w:t>
      </w:r>
      <w:r>
        <w:t xml:space="preserve">stava Glavnih centara za kontrolu prometa - pokretanje natječaja </w:t>
      </w:r>
    </w:p>
    <w:p w:rsidR="00895DD6" w:rsidRDefault="00F31687">
      <w:r>
        <w:t xml:space="preserve">5. Unapređenje centara za upravljanje tunelima, Unapređenje Regionalnih centara za prometno upravljanje, uspostava Glavnih centara za kontrolu prometa - Početak radova </w:t>
      </w:r>
    </w:p>
    <w:p w:rsidR="00895DD6" w:rsidRDefault="00F31687">
      <w:r>
        <w:t>6. Unapređenje centar</w:t>
      </w:r>
      <w:r>
        <w:t xml:space="preserve">a za upravljanje tunelima - Testiranje funkcioniranja unaprijeđenih sustava </w:t>
      </w:r>
    </w:p>
    <w:p w:rsidR="00895DD6" w:rsidRDefault="00F31687">
      <w:r>
        <w:t xml:space="preserve">7. Unaprjeđenje centara za upravljanje tunelima - Uklanjanje nedostataka i dovršenje radova </w:t>
      </w:r>
    </w:p>
    <w:p w:rsidR="00895DD6" w:rsidRDefault="00F31687">
      <w:r>
        <w:t xml:space="preserve">8. Unaprjeđenje Regionalnih centara za upravljanje prometom - Uklanjanje nedostataka i dovršetak radova </w:t>
      </w:r>
    </w:p>
    <w:p w:rsidR="00895DD6" w:rsidRDefault="00F31687">
      <w:r>
        <w:t xml:space="preserve">9. Uspostava Glavnih centara za kontrolu prometa - Uklanjanje nedostataka i dovršetak radova </w:t>
      </w:r>
    </w:p>
    <w:p w:rsidR="00895DD6" w:rsidRDefault="00F31687">
      <w:r>
        <w:t>10. Uspostava Nacionalne Pristupne Točke, 11. Ugrađena po</w:t>
      </w:r>
      <w:r>
        <w:t xml:space="preserve">trebna oprema za prioritetne aktivnosti (c) i (e). </w:t>
      </w:r>
    </w:p>
    <w:p w:rsidR="00895DD6" w:rsidRDefault="00F31687">
      <w:r>
        <w:t>Projekt je započeo 2016. godine, a završetak se očekivao do 31. prosinca 2020. godine. Uslijed djelovanja pandemije COVID-19 došlo je do kašnjenja vezano uz postupke javih nabava te je trajanje projekta p</w:t>
      </w:r>
      <w:r>
        <w:t>roduženo do lipnja 2023. godine. U 2024. godini je prihvaćeno završno izvješće, a u 2025. godini isplaćena su neutrošena sredstva iz prijašnjih godina društvu Hrvatske ceste u iznosu od 44.350 EUR.</w:t>
      </w:r>
    </w:p>
    <w:p w:rsidR="00895DD6" w:rsidRDefault="00F31687">
      <w:pPr>
        <w:pStyle w:val="Heading4"/>
      </w:pPr>
      <w:r>
        <w:t>T587084 INTERREG PROJEKT ACTIVE2PUBLIC TRANSPORT - PODRŠKA</w:t>
      </w:r>
      <w:r>
        <w:t xml:space="preserve"> BOLJEM KOMBINIRANJU BICIKLIZMA, PJEŠAČENJA I JAVNOG PRIJEVOZA U DUNAVSKOJ REGIJI</w:t>
      </w:r>
    </w:p>
    <w:tbl>
      <w:tblPr>
        <w:tblStyle w:val="StilTablice"/>
        <w:tblW w:w="10206" w:type="dxa"/>
        <w:jc w:val="center"/>
        <w:tblLook w:val="04A0" w:firstRow="1" w:lastRow="0" w:firstColumn="1" w:lastColumn="0" w:noHBand="0" w:noVBand="1"/>
      </w:tblPr>
      <w:tblGrid>
        <w:gridCol w:w="1660"/>
        <w:gridCol w:w="2034"/>
        <w:gridCol w:w="2033"/>
        <w:gridCol w:w="2034"/>
        <w:gridCol w:w="1222"/>
        <w:gridCol w:w="122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T587084-INTERREG PROJEKT ACTIVE2</w:t>
            </w:r>
            <w:r>
              <w:rPr>
                <w:rFonts w:cs="Times New Roman"/>
              </w:rPr>
              <w:t>PUBLIC TRANSPORT - PODRŠKA BOLJEM KOMBINIRANJU BICIKLIZMA, PJEŠAČENJA I JAVNOG PRIJEVOZA U DUNAVSKOJ REGIJI</w:t>
            </w:r>
          </w:p>
        </w:tc>
        <w:tc>
          <w:tcPr>
            <w:tcW w:w="2041" w:type="dxa"/>
          </w:tcPr>
          <w:p w:rsidR="00895DD6" w:rsidRDefault="00F31687">
            <w:pPr>
              <w:pStyle w:val="CellColumn"/>
              <w:jc w:val="right"/>
            </w:pPr>
            <w:r>
              <w:rPr>
                <w:rFonts w:cs="Times New Roman"/>
              </w:rPr>
              <w:t>25.599</w:t>
            </w:r>
          </w:p>
        </w:tc>
        <w:tc>
          <w:tcPr>
            <w:tcW w:w="2041" w:type="dxa"/>
          </w:tcPr>
          <w:p w:rsidR="00895DD6" w:rsidRDefault="00F31687">
            <w:pPr>
              <w:pStyle w:val="CellColumn"/>
              <w:jc w:val="right"/>
            </w:pPr>
            <w:r>
              <w:rPr>
                <w:rFonts w:cs="Times New Roman"/>
              </w:rPr>
              <w:t>160.198</w:t>
            </w:r>
          </w:p>
        </w:tc>
        <w:tc>
          <w:tcPr>
            <w:tcW w:w="2041" w:type="dxa"/>
          </w:tcPr>
          <w:p w:rsidR="00895DD6" w:rsidRDefault="00F31687">
            <w:pPr>
              <w:pStyle w:val="CellColumn"/>
              <w:jc w:val="right"/>
            </w:pPr>
            <w:r>
              <w:rPr>
                <w:rFonts w:cs="Times New Roman"/>
              </w:rPr>
              <w:t>27.663</w:t>
            </w:r>
          </w:p>
        </w:tc>
        <w:tc>
          <w:tcPr>
            <w:tcW w:w="1224" w:type="dxa"/>
          </w:tcPr>
          <w:p w:rsidR="00895DD6" w:rsidRDefault="00F31687">
            <w:pPr>
              <w:pStyle w:val="CellColumn"/>
              <w:jc w:val="right"/>
            </w:pPr>
            <w:r>
              <w:rPr>
                <w:rFonts w:cs="Times New Roman"/>
              </w:rPr>
              <w:t>17,3</w:t>
            </w:r>
          </w:p>
        </w:tc>
        <w:tc>
          <w:tcPr>
            <w:tcW w:w="1224" w:type="dxa"/>
          </w:tcPr>
          <w:p w:rsidR="00895DD6" w:rsidRDefault="00F31687">
            <w:pPr>
              <w:pStyle w:val="CellColumn"/>
              <w:jc w:val="right"/>
            </w:pPr>
            <w:r>
              <w:rPr>
                <w:rFonts w:cs="Times New Roman"/>
              </w:rPr>
              <w:t>108,1</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cestama </w:t>
      </w:r>
    </w:p>
    <w:p w:rsidR="00895DD6" w:rsidRDefault="00F31687">
      <w:r>
        <w:t xml:space="preserve">- Direktiva 2010/40/EU Europskog parlamenta i Vijeća od 7. srpnja 2010. godine o okviru za uvođenje inteligentnih prometnih sustava u cestovnom prometu i za veze s ostalim vrstama prijevoza   </w:t>
      </w:r>
    </w:p>
    <w:p w:rsidR="00895DD6" w:rsidRDefault="00F31687">
      <w:r>
        <w:t>- Delegirana uredba Komisije (EU) 2017/1926 od 31. svibnja 2017</w:t>
      </w:r>
      <w:r>
        <w:t>. godine o dopuni Direktive 2010/40/EU Europskog parlamenta i Vijeća u pogledu pružanja informacija o multimodalnim putovanjima na razini EU-a (SL L 272, 21.10.2017.)</w:t>
      </w:r>
    </w:p>
    <w:p w:rsidR="00895DD6" w:rsidRDefault="00F31687">
      <w:pPr>
        <w:pStyle w:val="Heading8"/>
        <w:jc w:val="left"/>
      </w:pPr>
      <w:r>
        <w:t>Opis aktivnosti</w:t>
      </w:r>
    </w:p>
    <w:p w:rsidR="00895DD6" w:rsidRDefault="00F31687">
      <w:r>
        <w:t>Ministarstvo se prijavilo na sudjelovanje u projektu Danube Region Programme: „Active2Public Transport“. U projektu je do sada sudjelovanje potvrdilo sljedećih 9 država: Austrija, Slovačka, Srbija, Njemačka, Mađarska, Češka, Slovenija, Rumunjska i Hrvatska</w:t>
      </w:r>
      <w:r>
        <w:t>, odnosno ukupno 11 partnera, a vodeći je partner Austrijska energetska agencija. Očekivano trajanje projekta je 30 mjeseci, a ukupna procijenjena vrijednost projekta iznosi oko 2.800.000 EUR. Cilj projekta je doprinos „ozelenjivanju“ energetskog i prometn</w:t>
      </w:r>
      <w:r>
        <w:t xml:space="preserve">og sektora u dunavskoj regiji jačanjem integracije obnovljivih izvora energije, a predstavlja nastavak uspješno provedenog DTP projekta Danube Cycle Plans.  </w:t>
      </w:r>
    </w:p>
    <w:p w:rsidR="00895DD6" w:rsidRDefault="00F31687">
      <w:r>
        <w:lastRenderedPageBreak/>
        <w:t>Da bi se postiglo smanjenje prometnih emisija za 90%, kako je predviđeno Europskim zelenim planom,</w:t>
      </w:r>
      <w:r>
        <w:t xml:space="preserve"> nužno je otići dalje od poboljšanja učinkovitosti vozila te prelaska na električna vozila. Mjere u putničkom prijevozu moraju biti više usmjerene na podršku multimodalnom prelasku na aktivni javni prijevoz. Bicikliranje i pješačenje najučinkovitiji su i j</w:t>
      </w:r>
      <w:r>
        <w:t>edini načini putovanja koji su u potpunosti bez ugljika, posebno na kratkim udaljenostima. Boljim povezivanjem aktivnog javnog prijevoza omogućit će se atraktivne alternative putovanjima automobilom na srednjim i većim udaljenostima. Rješenja razvijena i t</w:t>
      </w:r>
      <w:r>
        <w:t>estirana u sklopu projekta pomoći će da se nadvladaju postojeće praznine u multimodalnom prometnom sustavu i uključivat će sve oblike aktivnog putovanja do bilo koje stanice javnog prijevoza. To uključuje parkirališta, rješenja za prijevoz bicikala tijekom</w:t>
      </w:r>
      <w:r>
        <w:t xml:space="preserve"> vožnje autobusom ili vlakom te odlaske sa stanica javnog prijevoza, primjerice korištenjem bike sharing sustava. Akcijski plan projekta, podržan nacionalnim i regionalnim akcijskim planovima, pružit će strateški okvir za sustavno poboljšanje povezanosti a</w:t>
      </w:r>
      <w:r>
        <w:t xml:space="preserve">ktivnog javnog prijevoza u prometnim čvorištima te prema suvremenim središtima mobilnosti. Online alatni okvir koji će izraditi projektni partneri pružit će smjernice za provedbu inovativnih rješenja za prevladavanje postojećih nedostataka u multimodalnom </w:t>
      </w:r>
      <w:r>
        <w:t>sustavu aktivnog javnog prijevoza. Ovaj alatni okvir pokazat će kako unaprijediti postojeća suvremena rješenja obogaćena iskustvima iz pilot akcija, koje će partneri provoditi u različitim dijelovima dunavske regije. Zajednička provedba projekta u transnac</w:t>
      </w:r>
      <w:r>
        <w:t>ionalnom okruženju nadahnut će stručnjake svih uključenih organizacija (lokalna/regionalna/nacionalna javna tijela, nevladine organizacije, pružatelje usluga/infrastrukture) da nadvladaju svoj tradicionalno uski, „monomodalni“, i često automobilski orijent</w:t>
      </w:r>
      <w:r>
        <w:t xml:space="preserve">irani, fokus u korist većeg broja boljih usluga aktivnog javnog prijevoza i infrastrukture izvan ograničenog geografskog područja provedbe pilot akcija.  </w:t>
      </w:r>
    </w:p>
    <w:p w:rsidR="00895DD6" w:rsidRDefault="00F31687">
      <w:r>
        <w:t>Sredstva su do sada utrošena na koordinaciju projekta i provođenje projekta, odnosno na plaće članova</w:t>
      </w:r>
      <w:r>
        <w:t xml:space="preserve"> projektnog tima. Koordinator projekta je sudjelovao na svim online sastancima. Do sada provedene aktivnosti nisu zahtijevale troškove stručnjaka za potrebe provođenja A2PT projekta, a neutrošena sredstva se planiraju potrošiti do kraja trajanja projekta.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izvršenih aktivnosti projekta</w:t>
            </w:r>
          </w:p>
        </w:tc>
        <w:tc>
          <w:tcPr>
            <w:tcW w:w="2551" w:type="dxa"/>
          </w:tcPr>
          <w:p w:rsidR="00895DD6" w:rsidRDefault="00F31687">
            <w:pPr>
              <w:pStyle w:val="CellColumn"/>
              <w:jc w:val="left"/>
            </w:pPr>
            <w:r>
              <w:rPr>
                <w:rFonts w:cs="Times New Roman"/>
              </w:rPr>
              <w:t>Izvršenjem 3 planirane aktivnosti omogućit će se unaprjeđenje kombiniranja aktivne mobilnosti i javnog prijevoza (putovanje biciklom i vlakom)</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4"/>
      </w:pPr>
      <w:r>
        <w:t>T754082 POMOĆI BIH U PROMETNOJ POVEZANOSTI I INTEGRACIJI</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T754082-POMOĆI BIH U PROMETNOJ POVEZANOSTI I INTEGRACIJI</w:t>
            </w:r>
          </w:p>
        </w:tc>
        <w:tc>
          <w:tcPr>
            <w:tcW w:w="2041" w:type="dxa"/>
          </w:tcPr>
          <w:p w:rsidR="00895DD6" w:rsidRDefault="00F31687">
            <w:pPr>
              <w:pStyle w:val="CellColumn"/>
              <w:jc w:val="right"/>
            </w:pPr>
            <w:r>
              <w:rPr>
                <w:rFonts w:cs="Times New Roman"/>
              </w:rPr>
              <w:t>3.343.841</w:t>
            </w:r>
          </w:p>
        </w:tc>
        <w:tc>
          <w:tcPr>
            <w:tcW w:w="2041" w:type="dxa"/>
          </w:tcPr>
          <w:p w:rsidR="00895DD6" w:rsidRDefault="00F31687">
            <w:pPr>
              <w:pStyle w:val="CellColumn"/>
              <w:jc w:val="right"/>
            </w:pPr>
            <w:r>
              <w:rPr>
                <w:rFonts w:cs="Times New Roman"/>
              </w:rPr>
              <w:t>5.001.895</w:t>
            </w:r>
          </w:p>
        </w:tc>
        <w:tc>
          <w:tcPr>
            <w:tcW w:w="2041" w:type="dxa"/>
          </w:tcPr>
          <w:p w:rsidR="00895DD6" w:rsidRDefault="00F31687">
            <w:pPr>
              <w:pStyle w:val="CellColumn"/>
              <w:jc w:val="right"/>
            </w:pPr>
            <w:r>
              <w:rPr>
                <w:rFonts w:cs="Times New Roman"/>
              </w:rPr>
              <w:t>4.998.288</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149,5</w:t>
            </w:r>
          </w:p>
        </w:tc>
      </w:tr>
    </w:tbl>
    <w:p w:rsidR="00895DD6" w:rsidRDefault="00895DD6">
      <w:pPr>
        <w:jc w:val="left"/>
      </w:pPr>
    </w:p>
    <w:p w:rsidR="00895DD6" w:rsidRDefault="00F31687">
      <w:pPr>
        <w:pStyle w:val="Heading8"/>
        <w:jc w:val="left"/>
      </w:pPr>
      <w:r>
        <w:t>Zakonske i druge pravne osnove</w:t>
      </w:r>
    </w:p>
    <w:p w:rsidR="00895DD6" w:rsidRDefault="00F31687">
      <w:r>
        <w:t>- Odluka Vlade Republike Hrvatske vezano za sufinanciranje projekta izgradnje regionalne ceste R428 na dionici Zavala - Orahov Do - Granica RH (Slano) u duljini od 10 kilometara</w:t>
      </w:r>
    </w:p>
    <w:p w:rsidR="00895DD6" w:rsidRDefault="00F31687">
      <w:pPr>
        <w:pStyle w:val="Heading8"/>
        <w:jc w:val="left"/>
      </w:pPr>
      <w:r>
        <w:t>Opis aktivnosti</w:t>
      </w:r>
    </w:p>
    <w:p w:rsidR="00895DD6" w:rsidRDefault="00F31687">
      <w:r>
        <w:t xml:space="preserve">Cilj projekta je prometno povezati i integrirati općinu Ravno </w:t>
      </w:r>
      <w:r>
        <w:t xml:space="preserve">(BiH) sa njezinim prirodnim prometnim okruženjem, kako u Bosni i Hercegovini tako i u Republici Hrvatskoj. U tom smislu nezaobilazna i od velike važnosti je prometna </w:t>
      </w:r>
      <w:r>
        <w:lastRenderedPageBreak/>
        <w:t>veza prekograničnog cestovnog pravca Ravno-Zavala-Orahov Do-Granica RH (Slano). Na naveden</w:t>
      </w:r>
      <w:r>
        <w:t xml:space="preserve">om pravcu na području općine Ravno egzistira regionalna cesta R428 u dužini od 19 km koja se na GP Slano spaja na županijsku cestu ŽC6232 u Republici Hrvatskoj. Predmetna cesta podijeljena je na tri dionice od kojih je prva dionica u dužini od 4 km u fazi </w:t>
      </w:r>
      <w:r>
        <w:t xml:space="preserve">rekonstrukcije sa očekivanim završetkom radova do kraja 2025. godine, dok je druga dionica u dužini od 5 km rekonstruirana 2009. godine i u dobrom je stanju. Republika Hrvatska sufinancira izgradnju treće dionice navedene ceste Zavala-Orahov Do-Granica RH </w:t>
      </w:r>
      <w:r>
        <w:t xml:space="preserve">(Slano) u dužini od 10 km. </w:t>
      </w:r>
    </w:p>
    <w:p w:rsidR="00895DD6" w:rsidRDefault="00F31687">
      <w:r>
        <w:t>Izgradnja predmetne prometnice završena je tijekom 2025. godine, a svečano otvorenje i puštanje u promet održano je 17. listopada 2025. godine. Novoizgrađena prometnica dio je projekta izgradnje regionalne ceste R428 - dionica Z</w:t>
      </w:r>
      <w:r>
        <w:t>avala - Orahov Do - Granica RH (Slano), u ukupnoj dužini od 10 kilometara. Izgradnjom ove prometnice unaprijeđena je prometna povezanost pograničnog područja između Hrvatske i Bosne i Hercegovine, čime se dodatno jača gospodarska i turistička suradnja dvij</w:t>
      </w:r>
      <w:r>
        <w:t>u država te poboljšava dostupnost stanovnicima i gospodarstvu s obje strane granice.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Broj novoizgrađenih kilometara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Izgradnja dionice Zavala-Orahov Do-Granica RH (Slano) pridonosi kvalitetnijoj prometnoj povezanosti RH i BiH.</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Općina Ravno (BiH)</w:t>
            </w:r>
          </w:p>
        </w:tc>
        <w:tc>
          <w:tcPr>
            <w:tcW w:w="1020" w:type="dxa"/>
          </w:tcPr>
          <w:p w:rsidR="00895DD6" w:rsidRDefault="00F31687">
            <w:pPr>
              <w:pStyle w:val="CellColumn"/>
              <w:jc w:val="right"/>
            </w:pPr>
            <w:r>
              <w:rPr>
                <w:rFonts w:cs="Times New Roman"/>
              </w:rPr>
              <w:t>10,00</w:t>
            </w:r>
          </w:p>
        </w:tc>
        <w:tc>
          <w:tcPr>
            <w:tcW w:w="1020" w:type="dxa"/>
          </w:tcPr>
          <w:p w:rsidR="00895DD6" w:rsidRDefault="00F31687">
            <w:pPr>
              <w:pStyle w:val="CellColumn"/>
              <w:jc w:val="right"/>
            </w:pPr>
            <w:r>
              <w:rPr>
                <w:rFonts w:cs="Times New Roman"/>
              </w:rPr>
              <w:t>10,00</w:t>
            </w:r>
          </w:p>
        </w:tc>
      </w:tr>
    </w:tbl>
    <w:p w:rsidR="00895DD6" w:rsidRDefault="00895DD6">
      <w:pPr>
        <w:jc w:val="left"/>
      </w:pPr>
    </w:p>
    <w:p w:rsidR="00895DD6" w:rsidRDefault="00F31687">
      <w:pPr>
        <w:pStyle w:val="Heading4"/>
      </w:pPr>
      <w:r>
        <w:t>T819077 CEF PSA NAPCOORE PROJEKT-PROGRAMSKA PODRŠKA ZA PROVEDBU MEHANIZMA KOORDINACIJE ZA OBJEDINJAVANJE NACIONALNIH PRISTUPNIH TOČAKA</w:t>
      </w:r>
    </w:p>
    <w:tbl>
      <w:tblPr>
        <w:tblStyle w:val="StilTablice"/>
        <w:tblW w:w="10206" w:type="dxa"/>
        <w:jc w:val="center"/>
        <w:tblLook w:val="04A0" w:firstRow="1" w:lastRow="0" w:firstColumn="1" w:lastColumn="0" w:noHBand="0" w:noVBand="1"/>
      </w:tblPr>
      <w:tblGrid>
        <w:gridCol w:w="1803"/>
        <w:gridCol w:w="1992"/>
        <w:gridCol w:w="1988"/>
        <w:gridCol w:w="1992"/>
        <w:gridCol w:w="1213"/>
        <w:gridCol w:w="1218"/>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w:t>
            </w:r>
            <w:r>
              <w:rPr>
                <w:rFonts w:cs="Times New Roman"/>
              </w:rPr>
              <w:t>vršenje 2025./2024.</w:t>
            </w:r>
          </w:p>
        </w:tc>
      </w:tr>
      <w:tr w:rsidR="00895DD6">
        <w:trPr>
          <w:jc w:val="center"/>
        </w:trPr>
        <w:tc>
          <w:tcPr>
            <w:tcW w:w="1632" w:type="dxa"/>
          </w:tcPr>
          <w:p w:rsidR="00895DD6" w:rsidRDefault="00F31687">
            <w:pPr>
              <w:pStyle w:val="CellColumn"/>
              <w:jc w:val="left"/>
            </w:pPr>
            <w:r>
              <w:rPr>
                <w:rFonts w:cs="Times New Roman"/>
              </w:rPr>
              <w:t>T819077-CEF PSA NAPCOORE PROJEKT-PROGRAMSKA PODRŠKA ZA PROVEDBU MEHANIZMA KOORDINACIJE ZA OBJEDINJAVANJE NACIONALNIH PRISTUPNIH TOČAKA</w:t>
            </w:r>
          </w:p>
        </w:tc>
        <w:tc>
          <w:tcPr>
            <w:tcW w:w="2041" w:type="dxa"/>
          </w:tcPr>
          <w:p w:rsidR="00895DD6" w:rsidRDefault="00F31687">
            <w:pPr>
              <w:pStyle w:val="CellColumn"/>
              <w:jc w:val="right"/>
            </w:pPr>
            <w:r>
              <w:rPr>
                <w:rFonts w:cs="Times New Roman"/>
              </w:rPr>
              <w:t>75.469</w:t>
            </w:r>
          </w:p>
        </w:tc>
        <w:tc>
          <w:tcPr>
            <w:tcW w:w="2041" w:type="dxa"/>
          </w:tcPr>
          <w:p w:rsidR="00895DD6" w:rsidRDefault="00F31687">
            <w:pPr>
              <w:pStyle w:val="CellColumn"/>
              <w:jc w:val="right"/>
            </w:pPr>
            <w:r>
              <w:rPr>
                <w:rFonts w:cs="Times New Roman"/>
              </w:rPr>
              <w:t>185.316</w:t>
            </w:r>
          </w:p>
        </w:tc>
        <w:tc>
          <w:tcPr>
            <w:tcW w:w="2041" w:type="dxa"/>
          </w:tcPr>
          <w:p w:rsidR="00895DD6" w:rsidRDefault="00F31687">
            <w:pPr>
              <w:pStyle w:val="CellColumn"/>
              <w:jc w:val="right"/>
            </w:pPr>
            <w:r>
              <w:rPr>
                <w:rFonts w:cs="Times New Roman"/>
              </w:rPr>
              <w:t>69.008</w:t>
            </w:r>
          </w:p>
        </w:tc>
        <w:tc>
          <w:tcPr>
            <w:tcW w:w="1224" w:type="dxa"/>
          </w:tcPr>
          <w:p w:rsidR="00895DD6" w:rsidRDefault="00F31687">
            <w:pPr>
              <w:pStyle w:val="CellColumn"/>
              <w:jc w:val="right"/>
            </w:pPr>
            <w:r>
              <w:rPr>
                <w:rFonts w:cs="Times New Roman"/>
              </w:rPr>
              <w:t>37,2</w:t>
            </w:r>
          </w:p>
        </w:tc>
        <w:tc>
          <w:tcPr>
            <w:tcW w:w="1224" w:type="dxa"/>
          </w:tcPr>
          <w:p w:rsidR="00895DD6" w:rsidRDefault="00F31687">
            <w:pPr>
              <w:pStyle w:val="CellColumn"/>
              <w:jc w:val="right"/>
            </w:pPr>
            <w:r>
              <w:rPr>
                <w:rFonts w:cs="Times New Roman"/>
              </w:rPr>
              <w:t>91,4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cestama </w:t>
      </w:r>
    </w:p>
    <w:p w:rsidR="00895DD6" w:rsidRDefault="00F31687">
      <w:r>
        <w:t xml:space="preserve">- Direktiva 2010/40/EU Europskog parlamenta i Vijeća od 7. srpnja 2010. godine o okviru za uvođenje inteligentnih prometnih sustava u cestovnom prometu i za veze s ostalim vrstama prijevoza   </w:t>
      </w:r>
    </w:p>
    <w:p w:rsidR="00895DD6" w:rsidRDefault="00F31687">
      <w:r>
        <w:t>- Delegirana uredba br. 886/2013 - za prioritetnu mjeru (c) pod</w:t>
      </w:r>
      <w:r>
        <w:t xml:space="preserve">aci i postupci za pružanje korisnicima, gdje je to moguće, besplatnih osnovnih općih prometnih informacija u vezi s cestovnom sigurnosti,   </w:t>
      </w:r>
    </w:p>
    <w:p w:rsidR="00895DD6" w:rsidRDefault="00F31687">
      <w:r>
        <w:t>- Delegirana uredba br. 2015/962 - za prioritetnu mjeru (b) pružanje usluga prometnih informacija u cijeloj Europsk</w:t>
      </w:r>
      <w:r>
        <w:t xml:space="preserve">oj uniji u realnom vremenu, </w:t>
      </w:r>
    </w:p>
    <w:p w:rsidR="00895DD6" w:rsidRDefault="00F31687">
      <w:r>
        <w:lastRenderedPageBreak/>
        <w:t xml:space="preserve">- Delegirana uredba br. 885/2013 - za prioritetnu mjeru (e) pružanje usluga informiranja o sigurnim i zaštićenim parkirališnim mjestima za teretna i gospodarska vozila  </w:t>
      </w:r>
    </w:p>
    <w:p w:rsidR="00895DD6" w:rsidRDefault="00F31687">
      <w:r>
        <w:t>- Delegirana uredba Komisije (EU) 2017/1926, od 31. svibn</w:t>
      </w:r>
      <w:r>
        <w:t xml:space="preserve">ja 2017. godine o dopuni Direktive 2010/40/EU Europskog parlamenta i Vijeća u pogledu pružanja informacija o multimodalnim putovanjima na razini EU-a.  </w:t>
      </w:r>
    </w:p>
    <w:p w:rsidR="00895DD6" w:rsidRDefault="00F31687">
      <w:r>
        <w:t>- Grant Agreement No: MOVE/B4/SUB/2020-123/SI2.852232</w:t>
      </w:r>
    </w:p>
    <w:p w:rsidR="00895DD6" w:rsidRDefault="00F31687">
      <w:pPr>
        <w:pStyle w:val="Heading8"/>
        <w:jc w:val="left"/>
      </w:pPr>
      <w:r>
        <w:t>Opis aktivnosti</w:t>
      </w:r>
    </w:p>
    <w:p w:rsidR="00895DD6" w:rsidRDefault="00F31687">
      <w:r>
        <w:t xml:space="preserve">Izvršenjem projekta omogućeno je </w:t>
      </w:r>
      <w:r>
        <w:t>ostvarenje tehničkih i organizacijskih aktivnosti za unaprjeđenje i koordiniranje Nacionalnih pristupnih točaka uspostavljenih temeljem ITS Direktive 2010/40EU. U projektu su, osim Hrvatske, sudjelovale države članice EU. Konzorcij se sastojao od sljedećih</w:t>
      </w:r>
      <w:r>
        <w:t xml:space="preserve"> zemalja: Austrija, Belgija, Bugarska, Cipar, Češka, Danska, Estonija, Finska, Francuska, Grčka, Hrvatska, Irska, Italija, Latvija, Litva, Luksemburg, Mađarska, Malta, Nizozemska, Norveška, Njemačka, Poljska, Portugal, Rumunjska, Slovačka, Slovenija, Španj</w:t>
      </w:r>
      <w:r>
        <w:t xml:space="preserve">olska, Švedska, Švicarska, a pridružene su mu i međunarodne organizacije: UITP (Union Internationale des Transports Publics), ITxPT (Information Technology for Public Transport), ERTICO, te Highways England. </w:t>
      </w:r>
    </w:p>
    <w:p w:rsidR="00895DD6" w:rsidRDefault="00F31687">
      <w:r>
        <w:t xml:space="preserve">Ciljevi PSA NAPCORE projekta su: </w:t>
      </w:r>
    </w:p>
    <w:p w:rsidR="00895DD6" w:rsidRDefault="00F31687">
      <w:r>
        <w:t>- uspostavlja</w:t>
      </w:r>
      <w:r>
        <w:t xml:space="preserve">nje strukture dugoročnog upravljanja, kako bi se olakšala nacionalna i europska operativna koordinacija za provedbu europskih specifikacija </w:t>
      </w:r>
    </w:p>
    <w:p w:rsidR="00895DD6" w:rsidRDefault="00F31687">
      <w:r>
        <w:t xml:space="preserve">- usklađenje i razvoj NPT-ova, kako bi se poboljšala kompatibilnost i interoperabilnost značajki </w:t>
      </w:r>
    </w:p>
    <w:p w:rsidR="00895DD6" w:rsidRDefault="00F31687">
      <w:r>
        <w:t>- dizajn i razvoj</w:t>
      </w:r>
      <w:r>
        <w:t xml:space="preserve"> zajedničkih alata koji se odnose na dostupnost i razmjenu podataka </w:t>
      </w:r>
    </w:p>
    <w:p w:rsidR="00895DD6" w:rsidRDefault="00F31687">
      <w:r>
        <w:t xml:space="preserve">- planiranje i koordinacija inicijative za prikupljanje podataka </w:t>
      </w:r>
    </w:p>
    <w:p w:rsidR="00895DD6" w:rsidRDefault="00F31687">
      <w:r>
        <w:t xml:space="preserve">- usklađenje ocjene usklađenosti. </w:t>
      </w:r>
    </w:p>
    <w:p w:rsidR="00895DD6" w:rsidRDefault="00F31687">
      <w:r>
        <w:t>Sredstva su do sada utrošena na koordinaciju projekta i provođenje projekta, odnosno na plaće članova projektnog tima. Koordinator projekta, u suradnji s partnerom na projektu društvom Hrvatske ceste d.o.o., sudjelovao je na online sastancima. Do sada prov</w:t>
      </w:r>
      <w:r>
        <w:t>edene aktivnosti nisu zahtijevale troškove vanjskih stručnjaka za potrebe unaprjeđenja nacionalne pristupne točke koja je smještena u Karlovcu, te je iz tog razloga došlo do znatno manjeg utroška sredstava od planiranih. Projekt je uspješno završen.</w:t>
      </w:r>
    </w:p>
    <w:p w:rsidR="00895DD6" w:rsidRDefault="00F31687">
      <w:pPr>
        <w:pStyle w:val="Heading8"/>
        <w:jc w:val="left"/>
      </w:pPr>
      <w:r>
        <w:t>Pokaza</w:t>
      </w:r>
      <w:r>
        <w:t>telji rezultata</w:t>
      </w:r>
    </w:p>
    <w:tbl>
      <w:tblPr>
        <w:tblStyle w:val="StilTablice"/>
        <w:tblW w:w="10206" w:type="dxa"/>
        <w:jc w:val="center"/>
        <w:tblLook w:val="04A0" w:firstRow="1" w:lastRow="0" w:firstColumn="1" w:lastColumn="0" w:noHBand="0" w:noVBand="1"/>
      </w:tblPr>
      <w:tblGrid>
        <w:gridCol w:w="2469"/>
        <w:gridCol w:w="2485"/>
        <w:gridCol w:w="1006"/>
        <w:gridCol w:w="1014"/>
        <w:gridCol w:w="1203"/>
        <w:gridCol w:w="1014"/>
        <w:gridCol w:w="1015"/>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izvršenih aktivnosti projekta koje će biti razrađene Nacrtom Grant Argumenta</w:t>
            </w:r>
          </w:p>
        </w:tc>
        <w:tc>
          <w:tcPr>
            <w:tcW w:w="2551" w:type="dxa"/>
          </w:tcPr>
          <w:p w:rsidR="00895DD6" w:rsidRDefault="00F31687">
            <w:pPr>
              <w:pStyle w:val="CellColumn"/>
              <w:jc w:val="left"/>
            </w:pPr>
            <w:r>
              <w:rPr>
                <w:rFonts w:cs="Times New Roman"/>
              </w:rPr>
              <w:t>Izvršenje 3 aktivnosti def</w:t>
            </w:r>
            <w:r>
              <w:rPr>
                <w:rFonts w:cs="Times New Roman"/>
              </w:rPr>
              <w:t>iniranih Grant ugovorom omogućit će ostvarenje tehničkih i organizacijskih aktivnosti za koordinaciju nacionalnih pristupnih točaka za pružanje prometnih informacija na razini EU</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Ministarstvo mora, prometa i infrastrukture</w:t>
            </w:r>
          </w:p>
        </w:tc>
        <w:tc>
          <w:tcPr>
            <w:tcW w:w="1020" w:type="dxa"/>
          </w:tcPr>
          <w:p w:rsidR="00895DD6" w:rsidRDefault="00F31687">
            <w:pPr>
              <w:pStyle w:val="CellColumn"/>
              <w:jc w:val="right"/>
            </w:pPr>
            <w:r>
              <w:rPr>
                <w:rFonts w:cs="Times New Roman"/>
              </w:rPr>
              <w:t>3</w:t>
            </w:r>
          </w:p>
        </w:tc>
        <w:tc>
          <w:tcPr>
            <w:tcW w:w="1020" w:type="dxa"/>
          </w:tcPr>
          <w:p w:rsidR="00895DD6" w:rsidRDefault="00F31687">
            <w:pPr>
              <w:pStyle w:val="CellColumn"/>
              <w:jc w:val="right"/>
            </w:pPr>
            <w:r>
              <w:rPr>
                <w:rFonts w:cs="Times New Roman"/>
              </w:rPr>
              <w:t>3</w:t>
            </w:r>
          </w:p>
        </w:tc>
      </w:tr>
    </w:tbl>
    <w:p w:rsidR="00895DD6" w:rsidRDefault="00895DD6">
      <w:pPr>
        <w:jc w:val="left"/>
      </w:pPr>
    </w:p>
    <w:p w:rsidR="00895DD6" w:rsidRDefault="00F31687">
      <w:pPr>
        <w:pStyle w:val="Heading4"/>
      </w:pPr>
      <w:r>
        <w:t>T821083 CEF X4ITS PROJEKT - SREDNJOEUROPSKA PREKOGRANIČNA SURADNJA ZA INTELIGENTNE TRANSPORTNE SUSTAVE (ITS)</w:t>
      </w:r>
    </w:p>
    <w:tbl>
      <w:tblPr>
        <w:tblStyle w:val="StilTablice"/>
        <w:tblW w:w="10206" w:type="dxa"/>
        <w:jc w:val="center"/>
        <w:tblLook w:val="04A0" w:firstRow="1" w:lastRow="0" w:firstColumn="1" w:lastColumn="0" w:noHBand="0" w:noVBand="1"/>
      </w:tblPr>
      <w:tblGrid>
        <w:gridCol w:w="2048"/>
        <w:gridCol w:w="1923"/>
        <w:gridCol w:w="1905"/>
        <w:gridCol w:w="1923"/>
        <w:gridCol w:w="1198"/>
        <w:gridCol w:w="1209"/>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T821083-CEF X4ITS PROJEKT - SREDNJOEUROPSKA PREKOGRANIČNA SURADNJA ZA INTELIGENTNE TRANSPORTNE SUSTAVE (ITS)</w:t>
            </w:r>
          </w:p>
        </w:tc>
        <w:tc>
          <w:tcPr>
            <w:tcW w:w="2041" w:type="dxa"/>
          </w:tcPr>
          <w:p w:rsidR="00895DD6" w:rsidRDefault="00F31687">
            <w:pPr>
              <w:pStyle w:val="CellColumn"/>
              <w:jc w:val="right"/>
            </w:pPr>
            <w:r>
              <w:rPr>
                <w:rFonts w:cs="Times New Roman"/>
              </w:rPr>
              <w:t>33.836</w:t>
            </w:r>
          </w:p>
        </w:tc>
        <w:tc>
          <w:tcPr>
            <w:tcW w:w="2041" w:type="dxa"/>
          </w:tcPr>
          <w:p w:rsidR="00895DD6" w:rsidRDefault="00F31687">
            <w:pPr>
              <w:pStyle w:val="CellColumn"/>
              <w:jc w:val="right"/>
            </w:pPr>
            <w:r>
              <w:rPr>
                <w:rFonts w:cs="Times New Roman"/>
              </w:rPr>
              <w:t>37.712</w:t>
            </w:r>
          </w:p>
        </w:tc>
        <w:tc>
          <w:tcPr>
            <w:tcW w:w="2041" w:type="dxa"/>
          </w:tcPr>
          <w:p w:rsidR="00895DD6" w:rsidRDefault="00F31687">
            <w:pPr>
              <w:pStyle w:val="CellColumn"/>
              <w:jc w:val="right"/>
            </w:pPr>
            <w:r>
              <w:rPr>
                <w:rFonts w:cs="Times New Roman"/>
              </w:rPr>
              <w:t>29.671</w:t>
            </w:r>
          </w:p>
        </w:tc>
        <w:tc>
          <w:tcPr>
            <w:tcW w:w="1224" w:type="dxa"/>
          </w:tcPr>
          <w:p w:rsidR="00895DD6" w:rsidRDefault="00F31687">
            <w:pPr>
              <w:pStyle w:val="CellColumn"/>
              <w:jc w:val="right"/>
            </w:pPr>
            <w:r>
              <w:rPr>
                <w:rFonts w:cs="Times New Roman"/>
              </w:rPr>
              <w:t>78,7</w:t>
            </w:r>
          </w:p>
        </w:tc>
        <w:tc>
          <w:tcPr>
            <w:tcW w:w="1224" w:type="dxa"/>
          </w:tcPr>
          <w:p w:rsidR="00895DD6" w:rsidRDefault="00F31687">
            <w:pPr>
              <w:pStyle w:val="CellColumn"/>
              <w:jc w:val="right"/>
            </w:pPr>
            <w:r>
              <w:rPr>
                <w:rFonts w:cs="Times New Roman"/>
              </w:rPr>
              <w:t>87,7</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cestama </w:t>
      </w:r>
    </w:p>
    <w:p w:rsidR="00895DD6" w:rsidRDefault="00F31687">
      <w:r>
        <w:t xml:space="preserve">- Direktiva 2010/40/EU Europskog parlamenta i Vijeća od 7. srpnja 2010. godine o okviru za uvođenje inteligentnih prometnih sustava u cestovnom prometu i za veze s ostalim vrstama prijevoza </w:t>
      </w:r>
    </w:p>
    <w:p w:rsidR="00895DD6" w:rsidRDefault="00F31687">
      <w:r>
        <w:t xml:space="preserve">- Delegirana uredba Komisije (EU) 2017/1926 od 31. svibnja 2017. </w:t>
      </w:r>
      <w:r>
        <w:t xml:space="preserve">godine o dopuni Direktive 2010/40/EU Europskog parlamenta i Vijeća u pogledu pružanja informacija o multimodalnim putovanjima na razini EU-a (SL L 272, 21.10.2017.)   </w:t>
      </w:r>
    </w:p>
    <w:p w:rsidR="00895DD6" w:rsidRDefault="00F31687">
      <w:r>
        <w:t>- Grant Agreement: Project 101122492 — 22-EU-TG-X4ITS</w:t>
      </w:r>
    </w:p>
    <w:p w:rsidR="00895DD6" w:rsidRDefault="00F31687">
      <w:pPr>
        <w:pStyle w:val="Heading8"/>
        <w:jc w:val="left"/>
      </w:pPr>
      <w:r>
        <w:t>Opis aktivnosti</w:t>
      </w:r>
    </w:p>
    <w:p w:rsidR="00895DD6" w:rsidRDefault="00F31687">
      <w:r>
        <w:t>Ministarstvo mora,</w:t>
      </w:r>
      <w:r>
        <w:t xml:space="preserve"> prometa i infrastrukture je sudjelovalo u podnošenju prijave za projekt Central European cross-border cooperation for ITS – X4ITS“ pod temom „CEF-T-2022-SIMOBGEN-ITS-WORKS: ITS – studies, works or mixed”. Republika Hrvatska je navedeni ITS (Inteligent Tra</w:t>
      </w:r>
      <w:r>
        <w:t xml:space="preserve">nsport System) projekt prijavila zajedno s Austrijom (koordinator), Češkom, Mađarskom, Slovenijom i Rumunjskom, a zajedničku prijavu pripremala je austrijska agencija AustriaTech. Razdoblje trajanja projekta predviđeno je od 1. ožujka 2023. do 28. veljače </w:t>
      </w:r>
      <w:r>
        <w:t xml:space="preserve">2027. godine. </w:t>
      </w:r>
    </w:p>
    <w:p w:rsidR="00895DD6" w:rsidRDefault="00F31687">
      <w:r>
        <w:t xml:space="preserve">Ministarstvo mora, prometa i infrastrukture u projektu sudjeluje kao korisnik, a Hrvatske autoceste d.o.o., Autocesta Zagreb - Macelj d.o.o., Bina - Istra d.d. i Hrvatske ceste d.o.o. kao povezani subjekti. Svaki sudionik projekta (povezani </w:t>
      </w:r>
      <w:r>
        <w:t xml:space="preserve">subjekt) osigurava nacionalnu komponentu u projektu. </w:t>
      </w:r>
    </w:p>
    <w:p w:rsidR="00895DD6" w:rsidRDefault="00F31687">
      <w:r>
        <w:t xml:space="preserve">Ovaj projekt predstavlja nastavak već uspješno provedenih projekata Crocodile II (uvođenje DATEX II protokola) i Crocodile III (proširenje DATEX II protokola), sukladno Direktivi 2010/40/EU iz područja </w:t>
      </w:r>
      <w:r>
        <w:t>ITS-a. Navedenim projektom će se instalirati ITS oprema u zgradama za upravljanje prometom (npr. zamjena hardverske opreme za prikupljanje podataka iz sustava za kontrolu prometa radi dostave pouzdanih podataka u Nacionalnu pristupnu točku) te ITS oprema n</w:t>
      </w:r>
      <w:r>
        <w:t>a autocestama i državnim cestama (npr. zamjena analognih kamera s IP kamerama današnje generacije, digitalizacija video sustava autoceste radi pružanje informacija u stvarnom vremenu, jednostavniji izbor rute putovanja, smanjenje zagušenja u prometu i pove</w:t>
      </w:r>
      <w:r>
        <w:t>ćanje i sigurnost prometa). Predviđena je i ugradnja dodatnih meteo stanica u svrhu poboljšanja sigurnosti prometa i informiranja sudionika, ugradnja info-displeja na cestama i u tunelima u svrhu unaprjeđenja upravljanja prometom u slučaju prometne nezgode</w:t>
      </w:r>
      <w:r>
        <w:t xml:space="preserve">, odnosno provedbe planova upravljanja prometom. </w:t>
      </w:r>
    </w:p>
    <w:p w:rsidR="00895DD6" w:rsidRDefault="00F31687">
      <w:r>
        <w:t>Sredstva su do sada utrošena na koordinaciju projekta i provođenje projekta, odnosno na plaće članova projektnog tima. Koordinator projekta je sudjelovao na svim online sastancima. Do sada provedene aktivno</w:t>
      </w:r>
      <w:r>
        <w:t>sti nisu zahtijevale troškove stručnjaka za potrebe provođenja X4ITS projekta, a neutrošena sredstva se planiraju potrošiti do kraja trajanja projekta.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w:t>
            </w:r>
            <w:r>
              <w:rPr>
                <w:rFonts w:cs="Times New Roman"/>
              </w:rPr>
              <w:t xml:space="preserve">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izvršenih aktivnosti projekta koje će biti razrađene Nacrtom Grant Argeementa</w:t>
            </w:r>
          </w:p>
        </w:tc>
        <w:tc>
          <w:tcPr>
            <w:tcW w:w="2551" w:type="dxa"/>
          </w:tcPr>
          <w:p w:rsidR="00895DD6" w:rsidRDefault="00F31687">
            <w:pPr>
              <w:pStyle w:val="CellColumn"/>
              <w:jc w:val="left"/>
            </w:pPr>
            <w:r>
              <w:rPr>
                <w:rFonts w:cs="Times New Roman"/>
              </w:rPr>
              <w:t>Izvršenje 6 aktivnosti definiranih Grant ugovorom omogućit će poboljšanje prekograničnog prometa provedbom usklađenih i sinkroniziranih ITS aplikacija na cestovnoj mreži.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3"/>
      </w:pPr>
      <w:r>
        <w:rPr>
          <w:rFonts w:cs="Times New Roman"/>
        </w:rPr>
        <w:t>3111 PRIPREMA I PROVEDBA PROJEKATA SUFINANCIRANIH SREDSTVIMA FONDOV</w:t>
      </w:r>
      <w:r>
        <w:rPr>
          <w:rFonts w:cs="Times New Roman"/>
        </w:rPr>
        <w:t>A EU</w:t>
      </w:r>
    </w:p>
    <w:tbl>
      <w:tblPr>
        <w:tblStyle w:val="StilTablice"/>
        <w:tblW w:w="10206" w:type="dxa"/>
        <w:jc w:val="center"/>
        <w:tblLook w:val="04A0" w:firstRow="1" w:lastRow="0" w:firstColumn="1" w:lastColumn="0" w:noHBand="0" w:noVBand="1"/>
      </w:tblPr>
      <w:tblGrid>
        <w:gridCol w:w="1815"/>
        <w:gridCol w:w="1989"/>
        <w:gridCol w:w="1989"/>
        <w:gridCol w:w="1989"/>
        <w:gridCol w:w="1209"/>
        <w:gridCol w:w="1215"/>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3111-PRIPREMA I PROVEDBA PROJEKATA SUFINANCIRANIH SREDSTVIMA FONDOVA EU</w:t>
            </w:r>
          </w:p>
        </w:tc>
        <w:tc>
          <w:tcPr>
            <w:tcW w:w="2041" w:type="dxa"/>
          </w:tcPr>
          <w:p w:rsidR="00895DD6" w:rsidRDefault="00F31687">
            <w:pPr>
              <w:pStyle w:val="CellColumn"/>
              <w:jc w:val="right"/>
            </w:pPr>
            <w:r>
              <w:rPr>
                <w:rFonts w:cs="Times New Roman"/>
              </w:rPr>
              <w:t>170.561.220</w:t>
            </w:r>
          </w:p>
        </w:tc>
        <w:tc>
          <w:tcPr>
            <w:tcW w:w="2041" w:type="dxa"/>
          </w:tcPr>
          <w:p w:rsidR="00895DD6" w:rsidRDefault="00F31687">
            <w:pPr>
              <w:pStyle w:val="CellColumn"/>
              <w:jc w:val="right"/>
            </w:pPr>
            <w:r>
              <w:rPr>
                <w:rFonts w:cs="Times New Roman"/>
              </w:rPr>
              <w:t>137.948.491</w:t>
            </w:r>
          </w:p>
        </w:tc>
        <w:tc>
          <w:tcPr>
            <w:tcW w:w="2041" w:type="dxa"/>
          </w:tcPr>
          <w:p w:rsidR="00895DD6" w:rsidRDefault="00F31687">
            <w:pPr>
              <w:pStyle w:val="CellColumn"/>
              <w:jc w:val="right"/>
            </w:pPr>
            <w:r>
              <w:rPr>
                <w:rFonts w:cs="Times New Roman"/>
              </w:rPr>
              <w:t>125.834.772</w:t>
            </w:r>
          </w:p>
        </w:tc>
        <w:tc>
          <w:tcPr>
            <w:tcW w:w="1224" w:type="dxa"/>
          </w:tcPr>
          <w:p w:rsidR="00895DD6" w:rsidRDefault="00F31687">
            <w:pPr>
              <w:pStyle w:val="CellColumn"/>
              <w:jc w:val="right"/>
            </w:pPr>
            <w:r>
              <w:rPr>
                <w:rFonts w:cs="Times New Roman"/>
              </w:rPr>
              <w:t>91,2</w:t>
            </w:r>
          </w:p>
        </w:tc>
        <w:tc>
          <w:tcPr>
            <w:tcW w:w="1224" w:type="dxa"/>
          </w:tcPr>
          <w:p w:rsidR="00895DD6" w:rsidRDefault="00F31687">
            <w:pPr>
              <w:pStyle w:val="CellColumn"/>
              <w:jc w:val="right"/>
            </w:pPr>
            <w:r>
              <w:rPr>
                <w:rFonts w:cs="Times New Roman"/>
              </w:rPr>
              <w:t>73,8</w:t>
            </w:r>
          </w:p>
        </w:tc>
      </w:tr>
    </w:tbl>
    <w:p w:rsidR="00895DD6" w:rsidRDefault="00895DD6">
      <w:pPr>
        <w:jc w:val="left"/>
      </w:pPr>
    </w:p>
    <w:p w:rsidR="00895DD6" w:rsidRDefault="00F31687">
      <w:pPr>
        <w:pStyle w:val="Heading8"/>
        <w:jc w:val="left"/>
      </w:pPr>
      <w:r>
        <w:t>Cilj 1. Uspješna priprema i praćenje provedbe projekata sufinanciranih sredstvima fondova EU</w:t>
      </w:r>
    </w:p>
    <w:p w:rsidR="00895DD6" w:rsidRDefault="00F31687">
      <w:pPr>
        <w:pStyle w:val="Heading8"/>
        <w:jc w:val="left"/>
      </w:pPr>
      <w:r>
        <w:t>Opis provedbe cilja programa</w:t>
      </w:r>
    </w:p>
    <w:p w:rsidR="00895DD6" w:rsidRDefault="00F31687">
      <w:r>
        <w:t xml:space="preserve">Programom se provode aktivnosti za postizanje uspješne pripreme i provedbe projekata sufinanciranih sredstvima fondova EU, odnosno za </w:t>
      </w:r>
      <w:r>
        <w:t>ostvarenje ciljeva Operativnog programa Konkurentnost i kohezija 2014.-2020. (dalje: OPKK 2014.-2020.), Programa Konkurentnost i kohezija 2021.-2027. (dalje: PKK 2021.-2027.), Nacionalnog plana oporavka i otpornosti 2021.-2026. (dalje: NPOO), Fonda solidar</w:t>
      </w:r>
      <w:r>
        <w:t xml:space="preserve">nosti Europske unije (dalje: FSEU) te CEF Tehničke pomoći (dalje: CEF TA). </w:t>
      </w:r>
    </w:p>
    <w:p w:rsidR="00895DD6" w:rsidRDefault="00F31687">
      <w:r>
        <w:t>MMPI obnaša funkciju Posredničkog tijela 1 (dalje: PT1) za Prioritetnu os 7. Povezanost i mobilnost OPKK-a, za relevantne specifične ciljeve u PKK 2021.-2027. (RSO2.8. Promicanje o</w:t>
      </w:r>
      <w:r>
        <w:t>držive multimodalne gradske mobilnosti kao dijela prelaska na gospodarstvo s nultom neto stopom emisija ugljika, RSO3.1. Razvoj pametne, sigurne, održive i intermodalne mreže TEN-T otporne na klimatske promjene i RSO3.2. Razvoj i jačanje održive, pametne i</w:t>
      </w:r>
      <w:r>
        <w:t xml:space="preserve"> intermodalne nacionalne, regionalne i lokalne mobilnosti koja je otporna na klimatske promjene, uključujući bolji pristup mreži TEN-T i prekograničnoj mobilnosti), sektorski nadležnog tijela (dalje: SNT) za investicijski prioritet 2a Proširenje dostupnost</w:t>
      </w:r>
      <w:r>
        <w:t>i širokopojasnog pristupa i izgradnja mreža velikih brzina te podrška usvajanju novih tehnologija i mreža za digitalno gospodarstvo, Specifični cilj 2a1 Razvoj infrastrukture širokopojasne mreže sljedeće generacije u područjima bez infrastrukture širokopoj</w:t>
      </w:r>
      <w:r>
        <w:t>asne mreže sljedeće generacije i bez dovoljno komercijalnog interesa, za maksimalno povećanje socijalne i ekonomske dobrobiti, Tijela državne uprave nadležnog za komponentu/podkomponentu (dalje: NT) u NPOO te Tijela odgovorna za provedbu financijskog dopri</w:t>
      </w:r>
      <w:r>
        <w:t xml:space="preserve">nosa u FSEU-u (dalje: TOPFD).  </w:t>
      </w:r>
    </w:p>
    <w:p w:rsidR="00895DD6" w:rsidRDefault="00F31687">
      <w:r>
        <w:t>OPKK 2014.-2020. - zadnja godina prihvatljivosti troškova je 2023. te su u 2024. izvršene isplate po odobrenju završnih Zahtjeva korisnika za nadoknadom sredstava (dalje: ZNS). Započet je proces zatvaranja operativnog progra</w:t>
      </w:r>
      <w:r>
        <w:t xml:space="preserve">ma od strane Upravljačkog tijela za OPKK 2014.-2020. </w:t>
      </w:r>
    </w:p>
    <w:p w:rsidR="00895DD6" w:rsidRDefault="00F31687">
      <w:r>
        <w:t>PKK 2021.-2027. predstavlja kontinuitet u odnosu na financijsko razdoblje 2014.-2020. te objedinjuje dosadašnja iskustva i znanja u okviru OPKK 2014.-2020. PKK 2021.-2027. provest će se u okviru Kohezij</w:t>
      </w:r>
      <w:r>
        <w:t>ske politike EU kroz cilj ulaganja u radna mjesta i rast te će pridonijeti ispunjenju ciljeva: konkurentnija i pametnija Europa promicanjem inovativne i pametne gospodarske preobrazbe i regionalne povezivosti u području IKT-a; zelenija, otporna Europa s ni</w:t>
      </w:r>
      <w:r>
        <w:t xml:space="preserve">skom razinom emisija koja prelazi na gospodarstvo s nultom neto stopom emisija ugljika promicanjem prelaska na čistu i pravednu energiju, zelenih i plavih ulaganja, kružnoga gospodarstva, ublažavanja klimatskih promjena i prilagodbe klimatskim promjenama, </w:t>
      </w:r>
      <w:r>
        <w:t>sprečavanja rizika i upravljanja njime te održive urbane mobilnosti; povezanija Europa jačanjem mobilnosti; uključivija Europa s istaknutijom socijalnom komponentom provedbom europskog stupa socijalnih prava; Europa bliža građanima poticanjem održivog i in</w:t>
      </w:r>
      <w:r>
        <w:t xml:space="preserve">tegriranog razvoja svih vrsta područja i lokalnih inicijativa. </w:t>
      </w:r>
    </w:p>
    <w:p w:rsidR="00895DD6" w:rsidRDefault="00F31687">
      <w:r>
        <w:t>NPOO je dokument koji je rezultat rada Europske komisije krajem svibnja 2020. slijedom pandemije korona virusa kada je predstavljen sveobuhvatan paket u kojem je povezan budući višegodišnji fi</w:t>
      </w:r>
      <w:r>
        <w:t>nancijski okvir (VFO) 2021.-2027. s posebnim radom na oporavku u okviru instrumenta Next Generation EU (NGEU). Jedan od pojedinačnih programa u okviru NGEU je Mehanizam za oporavak i otpornost (RRF) u sklopu kojeg države članice pripremaju nacionalne plano</w:t>
      </w:r>
      <w:r>
        <w:t xml:space="preserve">ve za oporavak i otpornost kojima se utvrđuje plan reformi i ulaganja dotične države članice. Opći ciljevi koji moraju biti adresirani u NPOO su: i) promicanje EU gospodarske, socijalne i teritorijalne kohezije; ii) jačanje </w:t>
      </w:r>
      <w:r>
        <w:lastRenderedPageBreak/>
        <w:t>kapaciteta za otpornost i prilag</w:t>
      </w:r>
      <w:r>
        <w:t xml:space="preserve">odbu; iii) smanjivanje socijalnog i gospodarskog utjecaja na krizu i iv) podrška zelenoj i digitalnoj tranziciji. </w:t>
      </w:r>
    </w:p>
    <w:p w:rsidR="00895DD6" w:rsidRDefault="00F31687">
      <w:r>
        <w:t>Resor prometa se nalazi u NPOO unutar komponente 1. Gospodarstvo, u podkomponenti Razvoj konkurentnog, energetski održivog i učinkovitog prom</w:t>
      </w:r>
      <w:r>
        <w:t xml:space="preserve">etnog sustava. Unutar te podkomponente obuhvaćene su reforme i investicije svih vidova prometa (željeznički, cestovni, pomorski, zračni i javni gradski promet te promet unutarnjim plovnim putovima).   </w:t>
      </w:r>
    </w:p>
    <w:p w:rsidR="00895DD6" w:rsidRDefault="00F31687">
      <w:r>
        <w:t>FSEU - Korištenje sredstava pomoći usmjereno je na obn</w:t>
      </w:r>
      <w:r>
        <w:t>ovu infrastrukture i javnih ustanova na području Grada Zagreba, Krapinsko-zagorske županije, Zagrebačke županije, Sisačko-moslavačke županije, Karlovačke županije, Varaždinske županije, Međimurske županije, Brodsko-posavske županije, Koprivničko-križevačke</w:t>
      </w:r>
      <w:r>
        <w:t xml:space="preserve"> županije i Bjelovarsko-bilogorske županije za vraćanje u ispravno radno stanje infrastrukture i pogona u energetskom sektoru, u području vodoopskrbe, upravljanja otpadnim vodama, telekomunikacija, prijevoza, zdravlja i obrazovanja itd. Odlukom Vlade od 12</w:t>
      </w:r>
      <w:r>
        <w:t>. studenoga 2020. (NN broj 125/20, 79/22, 58/23) definiran je sustav provedbe za Zagrebački potres, a Odlukom Vlade od 24. studenoga 2021. (NN broj 127/21, 143/21, 107/22, 58/23) za Petrinjski potres. Ministarstvo prostornoga uređenja, graditeljstva i drža</w:t>
      </w:r>
      <w:r>
        <w:t>vne imovine je Nacionalno koordinacijsko tijelo (dalje: NKT) dok su za provedbu financijskog doprinosa prema nadležnosti određena resorna ministarstva. Rok za iskorištenje bespovratnih sredstava Europskog fonda solidarnosti istekao je krajem lipnja 2023. O</w:t>
      </w:r>
      <w:r>
        <w:t>dlukom Vlade Republike Hrvatske od 28. lipnja 2023., projekti započeti iz FSEU kod kojih je u tijeku provođenje ugovora o izvođenju radova, nastavljaju s financiranjem iz sredstava državnog proračuna Republike Hrvatske u onom dijelu koji je potreban za zav</w:t>
      </w:r>
      <w:r>
        <w:t xml:space="preserve">ršetak projekata iznad iznosa osiguranog iz FSEU. </w:t>
      </w:r>
    </w:p>
    <w:p w:rsidR="00895DD6" w:rsidRDefault="00F31687">
      <w:r>
        <w:t>CEF Tehnička pomoć – Specifični cilj Instrumenta za povezivanje Europe - Connecting Europe Facility CEF (dalje: CEF Instrument) je doprinijeti razvoju projekata od zajedničkog interesa koji se odnose na uč</w:t>
      </w:r>
      <w:r>
        <w:t>inkovite, međusobno povezane i multimodalne mreže i infrastrukturu za pametnu, interoperabilnu, održivu, uključivu, dostupnu i sigurnu mobilnost na trans-europskoj prometnoj mreži (TEN-T). Provedbom projekta osnažuju se institucionalne i administrativne sp</w:t>
      </w:r>
      <w:r>
        <w:t>osobnosti MMPI-ja, a sve kako bi se pomoglo boljem ugovaranju i provedbi projekata u okviru CEF Instrumenta.</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ugovorenih projekata u odnosu na planiran broj projekata za ugovaranje</w:t>
            </w:r>
          </w:p>
        </w:tc>
        <w:tc>
          <w:tcPr>
            <w:tcW w:w="2551" w:type="dxa"/>
          </w:tcPr>
          <w:p w:rsidR="00895DD6" w:rsidRDefault="00F31687">
            <w:pPr>
              <w:pStyle w:val="CellColumn"/>
              <w:jc w:val="left"/>
            </w:pPr>
            <w:r>
              <w:rPr>
                <w:rFonts w:cs="Times New Roman"/>
              </w:rPr>
              <w:t>Ovim pokazateljem će se mjeriti učinkovitost realizacije pripreme projekata sufinanciranih sredstvima fondova EU</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80</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96</w:t>
            </w:r>
          </w:p>
        </w:tc>
        <w:tc>
          <w:tcPr>
            <w:tcW w:w="1020" w:type="dxa"/>
          </w:tcPr>
          <w:p w:rsidR="00895DD6" w:rsidRDefault="00F31687">
            <w:pPr>
              <w:pStyle w:val="CellColumn"/>
              <w:jc w:val="right"/>
            </w:pPr>
            <w:r>
              <w:rPr>
                <w:rFonts w:cs="Times New Roman"/>
              </w:rPr>
              <w:t>96</w:t>
            </w:r>
          </w:p>
        </w:tc>
      </w:tr>
    </w:tbl>
    <w:p w:rsidR="00895DD6" w:rsidRDefault="00895DD6">
      <w:pPr>
        <w:jc w:val="left"/>
      </w:pPr>
    </w:p>
    <w:p w:rsidR="00895DD6" w:rsidRDefault="00F31687">
      <w:pPr>
        <w:pStyle w:val="Heading4"/>
      </w:pPr>
      <w:r>
        <w:t>A754081 POVRAT NEPRIHVATLJIVI</w:t>
      </w:r>
      <w:r>
        <w:t>H TROŠKOVA FINANCIRANIH IZ EU SREDSTAVA</w:t>
      </w:r>
    </w:p>
    <w:tbl>
      <w:tblPr>
        <w:tblStyle w:val="StilTablice"/>
        <w:tblW w:w="10206" w:type="dxa"/>
        <w:jc w:val="center"/>
        <w:tblLook w:val="04A0" w:firstRow="1" w:lastRow="0" w:firstColumn="1" w:lastColumn="0" w:noHBand="0" w:noVBand="1"/>
      </w:tblPr>
      <w:tblGrid>
        <w:gridCol w:w="1870"/>
        <w:gridCol w:w="1975"/>
        <w:gridCol w:w="1960"/>
        <w:gridCol w:w="1975"/>
        <w:gridCol w:w="1210"/>
        <w:gridCol w:w="1216"/>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A754081-POVRAT NEPRIHVATLJIVIH TROŠKOVA FINANCIRANIH IZ EU SREDSTAVA</w:t>
            </w:r>
          </w:p>
        </w:tc>
        <w:tc>
          <w:tcPr>
            <w:tcW w:w="2041" w:type="dxa"/>
          </w:tcPr>
          <w:p w:rsidR="00895DD6" w:rsidRDefault="00F31687">
            <w:pPr>
              <w:pStyle w:val="CellColumn"/>
              <w:jc w:val="right"/>
            </w:pPr>
            <w:r>
              <w:rPr>
                <w:rFonts w:cs="Times New Roman"/>
              </w:rPr>
              <w:t>12.947</w:t>
            </w:r>
          </w:p>
        </w:tc>
        <w:tc>
          <w:tcPr>
            <w:tcW w:w="2041" w:type="dxa"/>
          </w:tcPr>
          <w:p w:rsidR="00895DD6" w:rsidRDefault="00F31687">
            <w:pPr>
              <w:pStyle w:val="CellColumn"/>
              <w:jc w:val="right"/>
            </w:pPr>
            <w:r>
              <w:rPr>
                <w:rFonts w:cs="Times New Roman"/>
              </w:rPr>
              <w:t>2.000</w:t>
            </w:r>
          </w:p>
        </w:tc>
        <w:tc>
          <w:tcPr>
            <w:tcW w:w="2041" w:type="dxa"/>
          </w:tcPr>
          <w:p w:rsidR="00895DD6" w:rsidRDefault="00F31687">
            <w:pPr>
              <w:pStyle w:val="CellColumn"/>
              <w:jc w:val="right"/>
            </w:pPr>
            <w:r>
              <w:rPr>
                <w:rFonts w:cs="Times New Roman"/>
              </w:rPr>
              <w:t>1.063</w:t>
            </w:r>
          </w:p>
        </w:tc>
        <w:tc>
          <w:tcPr>
            <w:tcW w:w="1224" w:type="dxa"/>
          </w:tcPr>
          <w:p w:rsidR="00895DD6" w:rsidRDefault="00F31687">
            <w:pPr>
              <w:pStyle w:val="CellColumn"/>
              <w:jc w:val="right"/>
            </w:pPr>
            <w:r>
              <w:rPr>
                <w:rFonts w:cs="Times New Roman"/>
              </w:rPr>
              <w:t>53,2</w:t>
            </w:r>
          </w:p>
        </w:tc>
        <w:tc>
          <w:tcPr>
            <w:tcW w:w="1224" w:type="dxa"/>
          </w:tcPr>
          <w:p w:rsidR="00895DD6" w:rsidRDefault="00F31687">
            <w:pPr>
              <w:pStyle w:val="CellColumn"/>
              <w:jc w:val="right"/>
            </w:pPr>
            <w:r>
              <w:rPr>
                <w:rFonts w:cs="Times New Roman"/>
              </w:rPr>
              <w:t>8,2</w:t>
            </w:r>
          </w:p>
        </w:tc>
      </w:tr>
    </w:tbl>
    <w:p w:rsidR="00895DD6" w:rsidRDefault="00895DD6">
      <w:pPr>
        <w:jc w:val="left"/>
      </w:pPr>
    </w:p>
    <w:p w:rsidR="00895DD6" w:rsidRDefault="00F31687">
      <w:pPr>
        <w:pStyle w:val="Heading8"/>
        <w:jc w:val="left"/>
      </w:pPr>
      <w:r>
        <w:t>Zakonske i druge pravne osnove</w:t>
      </w:r>
    </w:p>
    <w:p w:rsidR="00895DD6" w:rsidRDefault="00F31687">
      <w:r>
        <w:t>- Zakon o proračunu</w:t>
      </w:r>
    </w:p>
    <w:p w:rsidR="00895DD6" w:rsidRDefault="00F31687">
      <w:pPr>
        <w:pStyle w:val="Heading8"/>
        <w:jc w:val="left"/>
      </w:pPr>
      <w:r>
        <w:lastRenderedPageBreak/>
        <w:t>Opis aktivnosti</w:t>
      </w:r>
    </w:p>
    <w:p w:rsidR="00895DD6" w:rsidRDefault="00F31687">
      <w:r>
        <w:t xml:space="preserve">Projekt „NAMIRS“- Sustav reagiranja na iznenadna onečišćenja mora s pomorskih objekata u sjevernom Jadranu završen je 29. veljače 2024. godine. Po završetku projekta, EU Komisija je poslala izračun uplaćenih i odobrenih sredstava za rad na projektu NAMIRS </w:t>
      </w:r>
      <w:r>
        <w:t>u razdoblju od veljače 2022. do veljače 2024. godine, koliko je trajao projekt. Za troškove plaće, putnih naloga i reprezentacije utrošeno je ukupno 22.016,72 EUR. EU komisija priznala je ukupan trošak od 20.973,89 EUR bez dodatnog objašnjenja i prilike za</w:t>
      </w:r>
      <w:r>
        <w:t xml:space="preserve"> pravdanjem utrošenih sredstava. Uz to ovo Ministarstvo je zaprimilo i uplatu koja je bila znatno veća od maksimalne moguće kontribucije EU Komisije.  </w:t>
      </w:r>
    </w:p>
    <w:p w:rsidR="00895DD6" w:rsidRDefault="00F31687">
      <w:r>
        <w:t xml:space="preserve">Temeljem izračuna, vodeći partner projekta nije prihvatio sve nastale troškove te traži povrat u iznosu </w:t>
      </w:r>
      <w:r>
        <w:t>od 8.627,01 EUR od čega 7.563,63 EUR neutrošeno, a 1.063,38 EUR je prikazano kao neprihvatljivi trošak. Razlika je nastala zbog načina obračuna troškova putovanja za potrebe projekta i stvarnih troškova putovanja. Kako je za potrebe usavršavanja i educiran</w:t>
      </w:r>
      <w:r>
        <w:t>ja osoblja za reagiranja u kriznim situacijama poslano dodatno osoblje na završnu vježbu, iz projekta nije bilo moguće pokriti sve nastale troškove te je utrošeno više sredstava. Nastalo prekoračenje troškova glavni partner nije priznao kao troškove projek</w:t>
      </w:r>
      <w:r>
        <w:t>ta.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povrata sredstava u proračun Europske unije</w:t>
            </w:r>
          </w:p>
        </w:tc>
        <w:tc>
          <w:tcPr>
            <w:tcW w:w="2551" w:type="dxa"/>
          </w:tcPr>
          <w:p w:rsidR="00895DD6" w:rsidRDefault="00F31687">
            <w:pPr>
              <w:pStyle w:val="CellColumn"/>
              <w:jc w:val="left"/>
            </w:pPr>
            <w:r>
              <w:rPr>
                <w:rFonts w:cs="Times New Roman"/>
              </w:rPr>
              <w:t>Sredstva na ime neprihvatljivih troškova u projektima koji su financirani sredstvima Europske unije, a koja se uplaćuju u proračun Europske unije na temelju zahtjeva za uplatu nadležnih tijela Europske unije</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4"/>
      </w:pPr>
      <w:r>
        <w:t>K810067 CE</w:t>
      </w:r>
      <w:r>
        <w:t>F 2014.-2020. PRIPREMA FAIRWAY 2 RADOVA NA RAJNA-DUNAV KORIDORU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K810067-CEF 2014.-2020. PRIPREMA FAIRWAY 2 RADOVA NA RAJNA-DUNAV KORIDORU</w:t>
            </w:r>
          </w:p>
        </w:tc>
        <w:tc>
          <w:tcPr>
            <w:tcW w:w="2041" w:type="dxa"/>
          </w:tcPr>
          <w:p w:rsidR="00895DD6" w:rsidRDefault="00F31687">
            <w:pPr>
              <w:pStyle w:val="CellColumn"/>
              <w:jc w:val="right"/>
            </w:pPr>
            <w:r>
              <w:rPr>
                <w:rFonts w:cs="Times New Roman"/>
              </w:rPr>
              <w:t>570.356</w:t>
            </w:r>
          </w:p>
        </w:tc>
        <w:tc>
          <w:tcPr>
            <w:tcW w:w="2041" w:type="dxa"/>
          </w:tcPr>
          <w:p w:rsidR="00895DD6" w:rsidRDefault="00F31687">
            <w:pPr>
              <w:pStyle w:val="CellColumn"/>
              <w:jc w:val="right"/>
            </w:pPr>
            <w:r>
              <w:rPr>
                <w:rFonts w:cs="Times New Roman"/>
              </w:rPr>
              <w:t>47.700</w:t>
            </w:r>
          </w:p>
        </w:tc>
        <w:tc>
          <w:tcPr>
            <w:tcW w:w="2041" w:type="dxa"/>
          </w:tcPr>
          <w:p w:rsidR="00895DD6" w:rsidRDefault="00F31687">
            <w:pPr>
              <w:pStyle w:val="CellColumn"/>
              <w:jc w:val="right"/>
            </w:pPr>
            <w:r>
              <w:rPr>
                <w:rFonts w:cs="Times New Roman"/>
              </w:rPr>
              <w:t>47.688</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8,4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uspostavi institucionalnog okvira za provedbu europskih strukturnih i investicijskih fondova u Republici Hrvatskoj u financijskom razdoblju 2014.-2020., članak 4., stavak 2.  </w:t>
      </w:r>
    </w:p>
    <w:p w:rsidR="00895DD6" w:rsidRDefault="00F31687">
      <w:r>
        <w:t xml:space="preserve">- Zakon o plovidbi i  lukama unutarnjih voda, članak 108., stavak 2. </w:t>
      </w:r>
    </w:p>
    <w:p w:rsidR="00895DD6" w:rsidRDefault="00F31687">
      <w:r>
        <w:t>- Ugovor sklopljen sa Izvršna agencija za klimu, okoliš i infrastrukturu - Agreement No. INEA/CEF/TRAN/M2019/2113571 od 11. 11. 202</w:t>
      </w:r>
    </w:p>
    <w:p w:rsidR="00895DD6" w:rsidRDefault="00F31687">
      <w:pPr>
        <w:pStyle w:val="Heading8"/>
        <w:jc w:val="left"/>
      </w:pPr>
      <w:r>
        <w:t>Opis aktivnosti</w:t>
      </w:r>
    </w:p>
    <w:p w:rsidR="00895DD6" w:rsidRDefault="00F31687">
      <w:r>
        <w:t>„Priprema FAIRway 2 radova na Rajna - Dunav koridoru“ je višekorisnički projekt odobren za EU sufinanciranje</w:t>
      </w:r>
      <w:r>
        <w:t xml:space="preserve"> unutar CEF 2014. – 2020. poziva u području prometa. </w:t>
      </w:r>
    </w:p>
    <w:p w:rsidR="00895DD6" w:rsidRDefault="00F31687">
      <w:r>
        <w:lastRenderedPageBreak/>
        <w:t>Projektom je provedeno praćenje parametara relevantnih za održavanje plovnog puta te inventarizacija sastavnica bioraznolikosti na kritičnim dionicama rijeke Dunav. Istim je osiguran temelj za zajedničk</w:t>
      </w:r>
      <w:r>
        <w:t>u strategiju i usklađene aktivnosti Republike Hrvatske i Srbije. Svrha navedenog je nastavak održavanja rijeke Dunav kao važnog međunarodnog plovnog puta, daljnji razvoj WAMOS sustava, povezivanje ključnih dionika, te analiza privezišta na Dunavu i plovnim</w:t>
      </w:r>
      <w:r>
        <w:t xml:space="preserve"> pritokama Dunava. </w:t>
      </w:r>
    </w:p>
    <w:p w:rsidR="00895DD6" w:rsidRDefault="00F31687">
      <w:r>
        <w:t>Provedba projekta započela je u drugoj polovici 2020. godine, dok je projekt službeno završen u prosincu 2024. godine. Iako su sve projektne aktivnosti hrvatskog partnera (Ministarstva mora, prometa i infrastrukture) izvršene do 31. pro</w:t>
      </w:r>
      <w:r>
        <w:t>sinca 2024. godine, određene aktivnosti nastavile su se tijekom 2025. godine zbog izrade hidrauličkog modela Dunava na zajedničkoj dionici između Hrvatske i Srbije, za što je bio zadužen partner iz Srbije. Budući da je izrada modela bila temeljena na podac</w:t>
      </w:r>
      <w:r>
        <w:t xml:space="preserve">ima monitoringa koje je provodio hrvatski partner, bilo je potrebno zadržati angažman stručnjaka iz područja hidrologije i biologije u savjetodavnoj ulozi i tijekom 2025. godine. </w:t>
      </w:r>
    </w:p>
    <w:p w:rsidR="00895DD6" w:rsidRDefault="00F31687">
      <w:r>
        <w:t xml:space="preserve">Dodatno, kao obvezni dio završnog zahtjeva za nadoknadu sredstava, hrvatski </w:t>
      </w:r>
      <w:r>
        <w:t xml:space="preserve">partner bio je dužan provesti reviziju troškova nastalih u okviru projekta, zbog čega je bilo potrebno osigurati sredstva za provedbu revizije i nakon formalnog završetka razdoblja provedbe projekta. </w:t>
      </w:r>
    </w:p>
    <w:p w:rsidR="00895DD6" w:rsidRDefault="00F31687">
      <w:r>
        <w:t xml:space="preserve">Unutar navedene aktivnosti, u 2025. godini utrošena su </w:t>
      </w:r>
      <w:r>
        <w:t xml:space="preserve">sredstva kako slijedi:  </w:t>
      </w:r>
    </w:p>
    <w:p w:rsidR="00895DD6" w:rsidRDefault="00F31687">
      <w:r>
        <w:t>- za usluge „Stručno tehničke pomoći za hidrološke, hidrauličke i morfološke parametre rijeke Dunav pri provedbi modeliranja i multikriterijske analize na zajedničkoj hrvatsko-srpskoj dionici rijeke Dunav“ u iznosu od 24.687,50 EUR</w:t>
      </w:r>
      <w:r>
        <w:t xml:space="preserve">, </w:t>
      </w:r>
    </w:p>
    <w:p w:rsidR="00895DD6" w:rsidRDefault="00F31687">
      <w:r>
        <w:t xml:space="preserve">- za usluge „Stručno tehničke pomoći iz područja biologije potrebnih za provedbu multikriterijske analize na zajedničkoj hrvatsko-srpskoj dionici rijeke Dunav“ u iznosu od 18.625,00 EUR, </w:t>
      </w:r>
    </w:p>
    <w:p w:rsidR="00895DD6" w:rsidRDefault="00F31687">
      <w:r>
        <w:t>- za usluge financijske revizija troškova nastalih u predmetnom p</w:t>
      </w:r>
      <w:r>
        <w:t xml:space="preserve">rojektu u iznosu od 4.375,00 EUR. </w:t>
      </w:r>
    </w:p>
    <w:p w:rsidR="00895DD6" w:rsidRDefault="00F31687">
      <w:r>
        <w:t>Sredstva planirana na intelektualnim i osobnim uslugama su utrošena za potrebe provedbe stručno tehničke pomoći za hidrološke, hidrauličke i morfološke parametre rijeke Dunav, stručno tehničke pomoći iz područja biologije</w:t>
      </w:r>
      <w:r>
        <w:t xml:space="preserve"> te financijske revizija troškova nastalih u sklopu predmetnog projekta.</w:t>
      </w:r>
    </w:p>
    <w:p w:rsidR="00895DD6" w:rsidRDefault="00F31687">
      <w:pPr>
        <w:pStyle w:val="Heading4"/>
      </w:pPr>
      <w:r>
        <w:t>T754039 OP KONKURENTNOST I KOHEZIJA, PRIORITETNA OS 7. POVEZANOST I MOBILNOST</w:t>
      </w:r>
    </w:p>
    <w:tbl>
      <w:tblPr>
        <w:tblStyle w:val="StilTablice"/>
        <w:tblW w:w="10206" w:type="dxa"/>
        <w:jc w:val="center"/>
        <w:tblLook w:val="04A0" w:firstRow="1" w:lastRow="0" w:firstColumn="1" w:lastColumn="0" w:noHBand="0" w:noVBand="1"/>
      </w:tblPr>
      <w:tblGrid>
        <w:gridCol w:w="1881"/>
        <w:gridCol w:w="1979"/>
        <w:gridCol w:w="1953"/>
        <w:gridCol w:w="1970"/>
        <w:gridCol w:w="1208"/>
        <w:gridCol w:w="1215"/>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T754039-OP KONKURENTNOST I KOHEZIJA, PRIORITETNA OS 7. POVEZANOST I MOBILNOST</w:t>
            </w:r>
          </w:p>
        </w:tc>
        <w:tc>
          <w:tcPr>
            <w:tcW w:w="2041" w:type="dxa"/>
          </w:tcPr>
          <w:p w:rsidR="00895DD6" w:rsidRDefault="00F31687">
            <w:pPr>
              <w:pStyle w:val="CellColumn"/>
              <w:jc w:val="right"/>
            </w:pPr>
            <w:r>
              <w:rPr>
                <w:rFonts w:cs="Times New Roman"/>
              </w:rPr>
              <w:t>52.020.512</w:t>
            </w:r>
          </w:p>
        </w:tc>
        <w:tc>
          <w:tcPr>
            <w:tcW w:w="2041" w:type="dxa"/>
          </w:tcPr>
          <w:p w:rsidR="00895DD6" w:rsidRDefault="00F31687">
            <w:pPr>
              <w:pStyle w:val="CellColumn"/>
              <w:jc w:val="right"/>
            </w:pPr>
            <w:r>
              <w:rPr>
                <w:rFonts w:cs="Times New Roman"/>
              </w:rPr>
              <w:t>1.200</w:t>
            </w:r>
          </w:p>
        </w:tc>
        <w:tc>
          <w:tcPr>
            <w:tcW w:w="2041" w:type="dxa"/>
          </w:tcPr>
          <w:p w:rsidR="00895DD6" w:rsidRDefault="00F31687">
            <w:pPr>
              <w:pStyle w:val="CellColumn"/>
              <w:jc w:val="right"/>
            </w:pPr>
            <w:r>
              <w:rPr>
                <w:rFonts w:cs="Times New Roman"/>
              </w:rPr>
              <w:t>-58.646</w:t>
            </w:r>
          </w:p>
        </w:tc>
        <w:tc>
          <w:tcPr>
            <w:tcW w:w="1224" w:type="dxa"/>
          </w:tcPr>
          <w:p w:rsidR="00895DD6" w:rsidRDefault="00F31687">
            <w:pPr>
              <w:pStyle w:val="CellColumn"/>
              <w:jc w:val="right"/>
            </w:pPr>
            <w:r>
              <w:rPr>
                <w:rFonts w:cs="Times New Roman"/>
              </w:rPr>
              <w:t>4887,1</w:t>
            </w:r>
          </w:p>
        </w:tc>
        <w:tc>
          <w:tcPr>
            <w:tcW w:w="1224" w:type="dxa"/>
          </w:tcPr>
          <w:p w:rsidR="00895DD6" w:rsidRDefault="00F31687">
            <w:pPr>
              <w:pStyle w:val="CellColumn"/>
              <w:jc w:val="right"/>
            </w:pPr>
            <w:r>
              <w:rPr>
                <w:rFonts w:cs="Times New Roman"/>
              </w:rPr>
              <w:t>-0,1</w:t>
            </w:r>
          </w:p>
        </w:tc>
      </w:tr>
    </w:tbl>
    <w:p w:rsidR="00895DD6" w:rsidRDefault="00895DD6">
      <w:pPr>
        <w:jc w:val="left"/>
      </w:pPr>
    </w:p>
    <w:p w:rsidR="00895DD6" w:rsidRDefault="00F31687">
      <w:pPr>
        <w:pStyle w:val="Heading8"/>
        <w:jc w:val="left"/>
      </w:pPr>
      <w:r>
        <w:t>Zakonske i druge pravne osnove</w:t>
      </w:r>
    </w:p>
    <w:p w:rsidR="00895DD6" w:rsidRDefault="00F31687">
      <w:r>
        <w:t xml:space="preserve">- Bijela knjiga: Plan puta u jedinstveni europski prometni prostor (ECE 2011)  </w:t>
      </w:r>
    </w:p>
    <w:p w:rsidR="00895DD6" w:rsidRDefault="00F31687">
      <w:r>
        <w:t xml:space="preserve">- Strategija prometnog razvoja Republike Hrvatske za razdoblje od 2017. do 2030. godine </w:t>
      </w:r>
    </w:p>
    <w:p w:rsidR="00895DD6" w:rsidRDefault="00F31687">
      <w:r>
        <w:t>- Sporazum o partnerstvu između RH i EK za korištenje EU strukturnih i investicijskih f</w:t>
      </w:r>
      <w:r>
        <w:t xml:space="preserve">ondova za rast i radna mjesta u razdoblju 2014.-2020.  </w:t>
      </w:r>
    </w:p>
    <w:p w:rsidR="00895DD6" w:rsidRDefault="00F31687">
      <w:r>
        <w:t xml:space="preserve">- Operativni program „Konkurentnost i kohezija 2014.-2020.“, izmjena odobrena od strane EK iz studenog 2023. </w:t>
      </w:r>
    </w:p>
    <w:p w:rsidR="00895DD6" w:rsidRDefault="00F31687">
      <w:r>
        <w:t>- Zakon o uspostavi institucionalnog okvira za provedbu ESI fondova u RH u financijskom ra</w:t>
      </w:r>
      <w:r>
        <w:t xml:space="preserve">zdoblju 2014.-2020. </w:t>
      </w:r>
    </w:p>
    <w:p w:rsidR="00895DD6" w:rsidRDefault="00F31687">
      <w:r>
        <w:t>- Uredba o tijelima u sustavima upravljanja i kontrole korištenja ESF, EFRR i KF, u vezi s ciljem „Ulaganje za rast i radna mjesta“ (dalje: Uredba)</w:t>
      </w:r>
    </w:p>
    <w:p w:rsidR="00895DD6" w:rsidRDefault="00F31687">
      <w:pPr>
        <w:pStyle w:val="Heading8"/>
        <w:jc w:val="left"/>
      </w:pPr>
      <w:r>
        <w:lastRenderedPageBreak/>
        <w:t>Opis aktivnosti</w:t>
      </w:r>
    </w:p>
    <w:p w:rsidR="00895DD6" w:rsidRDefault="00F31687">
      <w:r>
        <w:t>Ugovoreno razdoblje prihvatljivosti troškova trajalo je do kraja 2023.,</w:t>
      </w:r>
      <w:r>
        <w:t xml:space="preserve"> a 2024. je zadnja godina financiranja iz OPKK 2014.-2020. Izvršenje proračuna 2025. odnosi se na povrate EU sredstava po projektima "Nadogradnja i elektrifikacija postojeće željezničke pruge od značaja za međunarodni promet M601 Vinkovci-Vukovar" i "Nova </w:t>
      </w:r>
      <w:r>
        <w:t>luka Korčula - luka Polačište".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izvršenih isplata korisniku prije krajnjeg roka za plaćanje</w:t>
            </w:r>
          </w:p>
        </w:tc>
        <w:tc>
          <w:tcPr>
            <w:tcW w:w="2551" w:type="dxa"/>
          </w:tcPr>
          <w:p w:rsidR="00895DD6" w:rsidRDefault="00F31687">
            <w:pPr>
              <w:pStyle w:val="CellColumn"/>
              <w:jc w:val="left"/>
            </w:pPr>
            <w:r>
              <w:rPr>
                <w:rFonts w:cs="Times New Roman"/>
              </w:rPr>
              <w:t>Udio izvršenih isplata korisniku prije krajnjeg roka za plaćanje u ukupnom broju izvršenih isplata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96</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96</w:t>
            </w:r>
          </w:p>
        </w:tc>
        <w:tc>
          <w:tcPr>
            <w:tcW w:w="1020" w:type="dxa"/>
          </w:tcPr>
          <w:p w:rsidR="00895DD6" w:rsidRDefault="00F31687">
            <w:pPr>
              <w:pStyle w:val="CellColumn"/>
              <w:jc w:val="right"/>
            </w:pPr>
            <w:r>
              <w:rPr>
                <w:rFonts w:cs="Times New Roman"/>
              </w:rPr>
              <w:t>96</w:t>
            </w:r>
          </w:p>
        </w:tc>
      </w:tr>
    </w:tbl>
    <w:p w:rsidR="00895DD6" w:rsidRDefault="00895DD6">
      <w:pPr>
        <w:jc w:val="left"/>
      </w:pPr>
    </w:p>
    <w:p w:rsidR="00895DD6" w:rsidRDefault="00F31687">
      <w:pPr>
        <w:pStyle w:val="Heading4"/>
      </w:pPr>
      <w:r>
        <w:t>T754040 CEF TEHNIČKA POMOĆ</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T754040-CEF TEHNIČKA POMOĆ</w:t>
            </w:r>
          </w:p>
        </w:tc>
        <w:tc>
          <w:tcPr>
            <w:tcW w:w="2041" w:type="dxa"/>
          </w:tcPr>
          <w:p w:rsidR="00895DD6" w:rsidRDefault="00F31687">
            <w:pPr>
              <w:pStyle w:val="CellColumn"/>
              <w:jc w:val="right"/>
            </w:pPr>
            <w:r>
              <w:rPr>
                <w:rFonts w:cs="Times New Roman"/>
              </w:rPr>
              <w:t>86.972</w:t>
            </w:r>
          </w:p>
        </w:tc>
        <w:tc>
          <w:tcPr>
            <w:tcW w:w="2041" w:type="dxa"/>
          </w:tcPr>
          <w:p w:rsidR="00895DD6" w:rsidRDefault="00F31687">
            <w:pPr>
              <w:pStyle w:val="CellColumn"/>
              <w:jc w:val="right"/>
            </w:pPr>
            <w:r>
              <w:rPr>
                <w:rFonts w:cs="Times New Roman"/>
              </w:rPr>
              <w:t>387.075</w:t>
            </w:r>
          </w:p>
        </w:tc>
        <w:tc>
          <w:tcPr>
            <w:tcW w:w="2041" w:type="dxa"/>
          </w:tcPr>
          <w:p w:rsidR="00895DD6" w:rsidRDefault="00F31687">
            <w:pPr>
              <w:pStyle w:val="CellColumn"/>
              <w:jc w:val="right"/>
            </w:pPr>
            <w:r>
              <w:rPr>
                <w:rFonts w:cs="Times New Roman"/>
              </w:rPr>
              <w:t>366.482</w:t>
            </w:r>
          </w:p>
        </w:tc>
        <w:tc>
          <w:tcPr>
            <w:tcW w:w="1224" w:type="dxa"/>
          </w:tcPr>
          <w:p w:rsidR="00895DD6" w:rsidRDefault="00F31687">
            <w:pPr>
              <w:pStyle w:val="CellColumn"/>
              <w:jc w:val="right"/>
            </w:pPr>
            <w:r>
              <w:rPr>
                <w:rFonts w:cs="Times New Roman"/>
              </w:rPr>
              <w:t>94,7</w:t>
            </w:r>
          </w:p>
        </w:tc>
        <w:tc>
          <w:tcPr>
            <w:tcW w:w="1224" w:type="dxa"/>
          </w:tcPr>
          <w:p w:rsidR="00895DD6" w:rsidRDefault="00F31687">
            <w:pPr>
              <w:pStyle w:val="CellColumn"/>
              <w:jc w:val="right"/>
            </w:pPr>
            <w:r>
              <w:rPr>
                <w:rFonts w:cs="Times New Roman"/>
              </w:rPr>
              <w:t>421,4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Uredba (EU) 2021/1153 Europskog parlamenta i Vijeća od 7. srpnja 2021. o uspostavi Instrumenta za povezivanje Europe i stavljanju izvan snage uredaba (EU) br. 1316/2013 i (EU) br. 283/2014 </w:t>
      </w:r>
    </w:p>
    <w:p w:rsidR="00895DD6" w:rsidRDefault="00F31687">
      <w:r>
        <w:t>- Tehnička pomoć državama članicama za aktivnosti povezane s CEF</w:t>
      </w:r>
      <w:r>
        <w:t>-om, sudjelovanje u željezničkim teretnim koridorima i koridorima osnovne mreže te aktivnostima povezanim s TENtec-om i ažuriranjem i izvješćivanjem putem automatizirane razmjene podataka s TENtec-om – Hrvatska; Projekt 101082757 — 21-HR-TC-CEF-TA-HR  (eng</w:t>
      </w:r>
      <w:r>
        <w:t>. Technical Assistance to Member States for CEF related activities, participation in the RFC and CNC, and on TEN-Tec for updating and reporting via automated data exchange with TENtec – Croatia; Project 101082757 — 21-HR-TC-CEF-TA-HR); Dodatak Ugovoru No A</w:t>
      </w:r>
      <w:r>
        <w:t xml:space="preserve">MD-101082757-2 (dalje: CEF TA 2022-2024) </w:t>
      </w:r>
    </w:p>
    <w:p w:rsidR="00895DD6" w:rsidRDefault="00F31687">
      <w:r>
        <w:t>- Project 101225334 — 24-HR-TC-CEF-TA-HR (eng. Technical Assistance to Member States for CEF related activities, participation in the RFC and ETC, and support to urban nodes, Project acronym: 24-HR-TC-CEF-TA-HR) (d</w:t>
      </w:r>
      <w:r>
        <w:t>alje: CEF TA 2025-2027)</w:t>
      </w:r>
    </w:p>
    <w:p w:rsidR="00895DD6" w:rsidRDefault="00F31687">
      <w:pPr>
        <w:pStyle w:val="Heading8"/>
        <w:jc w:val="left"/>
      </w:pPr>
      <w:r>
        <w:t>Opis aktivnosti</w:t>
      </w:r>
    </w:p>
    <w:p w:rsidR="00895DD6" w:rsidRDefault="00F31687">
      <w:r>
        <w:t>Specifični cilj CEF programa u prometnom sektoru je doprinijeti razvoju projekata od zajedničkog interesa koji se odnose na učinkovite, međusobno povezane i multimodalne mreže i infrastrukturu za pametnu, interoperab</w:t>
      </w:r>
      <w:r>
        <w:t>ilnu, održivu, uključivu, dostupnu i sigurnu mobilnost na trans-europskoj prometnoj mreži (TEN-T). Kako bi se postigao ovaj cilj, pruža se tehnička pomoć državama članicama kao glavnim dionicima odgovornim za uspješnu provedbu ulaganja u infrastrukturu vez</w:t>
      </w:r>
      <w:r>
        <w:t xml:space="preserve">anu uz TEN-T. </w:t>
      </w:r>
    </w:p>
    <w:p w:rsidR="00895DD6" w:rsidRDefault="00F31687">
      <w:r>
        <w:t>Ugovor o tehničkoj pomoći CEF TA 2022-2024 potpisan je 15. rujna 2022. Dodatkom Ugovoru No AMD-101082757-2 od 11. prosinca 2024. odobreno je produljenje provedbe do 31. prosinca 2025. za aktivnost izrade sustava za razmjenu podataka između u</w:t>
      </w:r>
      <w:r>
        <w:t xml:space="preserve">pravitelja infrastrukture i EU centralnog sustava TENtec. </w:t>
      </w:r>
    </w:p>
    <w:p w:rsidR="00895DD6" w:rsidRDefault="00F31687">
      <w:r>
        <w:t>Ugovor o tehničkoj pomoći CEF TA 2025-2027 potpisan je 31. ožujka 2025. između MMPI-ja i CINEA Agencije te je nastavak tehničke pomoći MMPI-ju kao glavnom odgovornom dioniku za uspješnu provedbu in</w:t>
      </w:r>
      <w:r>
        <w:t xml:space="preserve">frastrukturnih ulaganja u TEN-T. Prihvatljivi izdaci nadoknađuju se od strane Europske komisije, međutim sukladno CEF Uredbi 21-27, PDV nije prihvatljiv trošak.  </w:t>
      </w:r>
    </w:p>
    <w:p w:rsidR="00895DD6" w:rsidRDefault="00F31687">
      <w:r>
        <w:lastRenderedPageBreak/>
        <w:t>Proračunska sredstva u 2025. utrošena su na provedbu oba ugovora o tehničkoj pomoći odnosno n</w:t>
      </w:r>
      <w:r>
        <w:t xml:space="preserve">a putne troškove sastanaka praćenja provedbe projekata koji se sufinanciraju kroz CEF instrument, usluge temeljem ugovora o djelu, usluge razvoja rješenja za automatiziranu razmjenu podataka s TENtec sustavom, usluge savjetovanja u pripremi i provedbi CEF </w:t>
      </w:r>
      <w:r>
        <w:t>2 projekata te promidžbe i informiranja.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498"/>
        <w:gridCol w:w="2501"/>
        <w:gridCol w:w="1011"/>
        <w:gridCol w:w="1016"/>
        <w:gridCol w:w="1148"/>
        <w:gridCol w:w="1016"/>
        <w:gridCol w:w="1016"/>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sudjelovanja na izvršnim odborima željezničkih teretnih koridora i forumima koridora osnovne mreže</w:t>
            </w:r>
          </w:p>
        </w:tc>
        <w:tc>
          <w:tcPr>
            <w:tcW w:w="2551" w:type="dxa"/>
          </w:tcPr>
          <w:p w:rsidR="00895DD6" w:rsidRDefault="00F31687">
            <w:pPr>
              <w:pStyle w:val="CellColumn"/>
              <w:jc w:val="left"/>
            </w:pPr>
            <w:r>
              <w:rPr>
                <w:rFonts w:cs="Times New Roman"/>
              </w:rPr>
              <w:t>Sudjelovanje na službenim sastancima izvršnih odbora željezničkih teretnih koridora i forumima koridora osnovne mreže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Interna evidencija MMPI; Sl</w:t>
            </w:r>
            <w:r>
              <w:rPr>
                <w:rFonts w:cs="Times New Roman"/>
              </w:rPr>
              <w:t>užbeni zapisnici s izvršnih odbora i foruma</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11</w:t>
            </w:r>
          </w:p>
        </w:tc>
      </w:tr>
      <w:tr w:rsidR="00895DD6">
        <w:trPr>
          <w:jc w:val="center"/>
        </w:trPr>
        <w:tc>
          <w:tcPr>
            <w:tcW w:w="2551" w:type="dxa"/>
          </w:tcPr>
          <w:p w:rsidR="00895DD6" w:rsidRDefault="00F31687">
            <w:pPr>
              <w:pStyle w:val="CellColumn"/>
              <w:jc w:val="left"/>
            </w:pPr>
            <w:r>
              <w:rPr>
                <w:rFonts w:cs="Times New Roman"/>
              </w:rPr>
              <w:t>Izrađen sustav za razmjenu podataka sa TENtec sustavom</w:t>
            </w:r>
          </w:p>
        </w:tc>
        <w:tc>
          <w:tcPr>
            <w:tcW w:w="2551" w:type="dxa"/>
          </w:tcPr>
          <w:p w:rsidR="00895DD6" w:rsidRDefault="00F31687">
            <w:pPr>
              <w:pStyle w:val="CellColumn"/>
              <w:jc w:val="left"/>
            </w:pPr>
            <w:r>
              <w:rPr>
                <w:rFonts w:cs="Times New Roman"/>
              </w:rPr>
              <w:t>Izrađen i uspostavljen sustav za razmjenu podataka između upravitelja infrastrukture i EU centralnog sustava TENtec</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Izvješće o primopredaji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T754041 OP KONKURENTNOST I KOHEZIJA, SPECIFIČNI CILJ 2A1 RAZVOJ INFRASTRUKTURE ŠIROKOPOJASNE MREŽE SLJEDEĆE GENERACIJE</w:t>
      </w:r>
    </w:p>
    <w:tbl>
      <w:tblPr>
        <w:tblStyle w:val="StilTablice"/>
        <w:tblW w:w="10206" w:type="dxa"/>
        <w:jc w:val="center"/>
        <w:tblLook w:val="04A0" w:firstRow="1" w:lastRow="0" w:firstColumn="1" w:lastColumn="0" w:noHBand="0" w:noVBand="1"/>
      </w:tblPr>
      <w:tblGrid>
        <w:gridCol w:w="1892"/>
        <w:gridCol w:w="1977"/>
        <w:gridCol w:w="1949"/>
        <w:gridCol w:w="1966"/>
        <w:gridCol w:w="1208"/>
        <w:gridCol w:w="121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w:t>
            </w:r>
            <w:r>
              <w:rPr>
                <w:rFonts w:cs="Times New Roman"/>
              </w:rPr>
              <w:t>/2024.</w:t>
            </w:r>
          </w:p>
        </w:tc>
      </w:tr>
      <w:tr w:rsidR="00895DD6">
        <w:trPr>
          <w:jc w:val="center"/>
        </w:trPr>
        <w:tc>
          <w:tcPr>
            <w:tcW w:w="1632" w:type="dxa"/>
          </w:tcPr>
          <w:p w:rsidR="00895DD6" w:rsidRDefault="00F31687">
            <w:pPr>
              <w:pStyle w:val="CellColumn"/>
              <w:jc w:val="left"/>
            </w:pPr>
            <w:r>
              <w:rPr>
                <w:rFonts w:cs="Times New Roman"/>
              </w:rPr>
              <w:t>T754041-OP KONKURENTNOST I KOHEZIJA, SPECIFIČNI CILJ 2A1 RAZVOJ INFRASTRUKTURE ŠIROKOPOJASNE MREŽE SLJEDEĆE GENERACIJE</w:t>
            </w:r>
          </w:p>
        </w:tc>
        <w:tc>
          <w:tcPr>
            <w:tcW w:w="2041" w:type="dxa"/>
          </w:tcPr>
          <w:p w:rsidR="00895DD6" w:rsidRDefault="00F31687">
            <w:pPr>
              <w:pStyle w:val="CellColumn"/>
              <w:jc w:val="right"/>
            </w:pPr>
            <w:r>
              <w:rPr>
                <w:rFonts w:cs="Times New Roman"/>
              </w:rPr>
              <w:t>27.553.306</w:t>
            </w:r>
          </w:p>
        </w:tc>
        <w:tc>
          <w:tcPr>
            <w:tcW w:w="2041" w:type="dxa"/>
          </w:tcPr>
          <w:p w:rsidR="00895DD6" w:rsidRDefault="00F31687">
            <w:pPr>
              <w:pStyle w:val="CellColumn"/>
              <w:jc w:val="right"/>
            </w:pPr>
            <w:r>
              <w:rPr>
                <w:rFonts w:cs="Times New Roman"/>
              </w:rPr>
              <w:t>600</w:t>
            </w:r>
          </w:p>
        </w:tc>
        <w:tc>
          <w:tcPr>
            <w:tcW w:w="2041" w:type="dxa"/>
          </w:tcPr>
          <w:p w:rsidR="00895DD6" w:rsidRDefault="00F31687">
            <w:pPr>
              <w:pStyle w:val="CellColumn"/>
              <w:jc w:val="right"/>
            </w:pPr>
            <w:r>
              <w:rPr>
                <w:rFonts w:cs="Times New Roman"/>
              </w:rPr>
              <w:t>-1.245</w:t>
            </w:r>
          </w:p>
        </w:tc>
        <w:tc>
          <w:tcPr>
            <w:tcW w:w="1224" w:type="dxa"/>
          </w:tcPr>
          <w:p w:rsidR="00895DD6" w:rsidRDefault="00F31687">
            <w:pPr>
              <w:pStyle w:val="CellColumn"/>
              <w:jc w:val="right"/>
            </w:pPr>
            <w:r>
              <w:rPr>
                <w:rFonts w:cs="Times New Roman"/>
              </w:rPr>
              <w:t>207,5</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Strategija Europa 2020 (ožujak 2010., revizija iz ožujka 2014.) i Digitalna agenda za Europu do 2020. </w:t>
      </w:r>
    </w:p>
    <w:p w:rsidR="00895DD6" w:rsidRDefault="00F31687">
      <w:r>
        <w:t xml:space="preserve">- Sporazum o partnerstvu između RH i EK za korištenje EU strukturnih i investicijskih fondova za rast i radna mjesta u razdoblju 2014.-2020. </w:t>
      </w:r>
    </w:p>
    <w:p w:rsidR="00895DD6" w:rsidRDefault="00F31687">
      <w:r>
        <w:t xml:space="preserve">- Operativni program „Konkurentnost i kohezija 2014.-2020.“, izmjena odobrena od strane EK iz studenog 2023. </w:t>
      </w:r>
    </w:p>
    <w:p w:rsidR="00895DD6" w:rsidRDefault="00F31687">
      <w:r>
        <w:t xml:space="preserve">- Zakon o uspostavi institucionalnog okvira za provedbu ESI fondova u RH u financijskom razdoblju 2014.-2020. </w:t>
      </w:r>
    </w:p>
    <w:p w:rsidR="00895DD6" w:rsidRDefault="00F31687">
      <w:r>
        <w:t>- Uredba o tijelima u sustavima upr</w:t>
      </w:r>
      <w:r>
        <w:t xml:space="preserve">avljanja i kontrole korištenja ESF, EFRR i KF, u vezi s ciljem „Ulaganje za rast i radna mjesta“ </w:t>
      </w:r>
    </w:p>
    <w:p w:rsidR="00895DD6" w:rsidRDefault="00F31687">
      <w:r>
        <w:t>-</w:t>
      </w:r>
      <w:r>
        <w:tab/>
        <w:t>Sporazum o utvrđivanju uvjeta za dodjelu javnih sredstava u okviru Prioritetne osi 2 „Korištenje informacijske i komunikacijske tehnologije“, Specifičnog ci</w:t>
      </w:r>
      <w:r>
        <w:t xml:space="preserve">lja 2a1 „Razvoj infrastrukture širokopojasne mreže sljedeće generacije u području bez infrastrukture širokopojasne mreže sljedeće generacije i bez dovoljnog </w:t>
      </w:r>
      <w:r>
        <w:lastRenderedPageBreak/>
        <w:t>komercijalnog interesa, za maksimalno povećanje socijalne i ekonomske dobrobiti“ Operativnog progra</w:t>
      </w:r>
      <w:r>
        <w:t>ma „Konkurentnost i kohezija“ u financijskom razdoblju 2014. – 2020.</w:t>
      </w:r>
    </w:p>
    <w:p w:rsidR="00895DD6" w:rsidRDefault="00F31687">
      <w:pPr>
        <w:pStyle w:val="Heading8"/>
        <w:jc w:val="left"/>
      </w:pPr>
      <w:r>
        <w:t>Opis aktivnosti</w:t>
      </w:r>
    </w:p>
    <w:p w:rsidR="00895DD6" w:rsidRDefault="00F31687">
      <w:r>
        <w:t>Ugovoreno razdoblje prihvatljivosti troškova trajalo je do kraja 2023., a 2024. je zadnja godina financiranja iz OPKK 2014.-2020. od strane MMPI u ulozi SNT-a. Izvršenje p</w:t>
      </w:r>
      <w:r>
        <w:t>roračuna 2025. odnosi se na povrate EU sredstava po projektima „Razvoj širokopojasnog interneta na području Općina Crnac, Čačinci, Čađavica, Mikleuš, Nova Bukovica, Sopje, Voćin i Zdenci“, „Razvoj infrastrukture širokopojasnog  pristupa na području Dubrovn</w:t>
      </w:r>
      <w:r>
        <w:t>ika“ i „Razvoj širokopojasne infrastrukture na podruju Općina Galovac, Sukošan, Sveti Filip i Jakov i Škabrnja“.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izvršenih isplata korisniku prije krajnjeg roka za plaćanje</w:t>
            </w:r>
          </w:p>
        </w:tc>
        <w:tc>
          <w:tcPr>
            <w:tcW w:w="2551" w:type="dxa"/>
          </w:tcPr>
          <w:p w:rsidR="00895DD6" w:rsidRDefault="00F31687">
            <w:pPr>
              <w:pStyle w:val="CellColumn"/>
              <w:jc w:val="left"/>
            </w:pPr>
            <w:r>
              <w:rPr>
                <w:rFonts w:cs="Times New Roman"/>
              </w:rPr>
              <w:t>Udio izvršenih isplata korisniku prije krajnjeg roka za plaćanje u ukupnom broju izvršenih isplata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95</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95</w:t>
            </w:r>
          </w:p>
        </w:tc>
        <w:tc>
          <w:tcPr>
            <w:tcW w:w="1020" w:type="dxa"/>
          </w:tcPr>
          <w:p w:rsidR="00895DD6" w:rsidRDefault="00F31687">
            <w:pPr>
              <w:pStyle w:val="CellColumn"/>
              <w:jc w:val="right"/>
            </w:pPr>
            <w:r>
              <w:rPr>
                <w:rFonts w:cs="Times New Roman"/>
              </w:rPr>
              <w:t>95</w:t>
            </w:r>
          </w:p>
        </w:tc>
      </w:tr>
    </w:tbl>
    <w:p w:rsidR="00895DD6" w:rsidRDefault="00895DD6">
      <w:pPr>
        <w:jc w:val="left"/>
      </w:pPr>
    </w:p>
    <w:p w:rsidR="00895DD6" w:rsidRDefault="00F31687">
      <w:pPr>
        <w:pStyle w:val="Heading4"/>
      </w:pPr>
      <w:r>
        <w:t>T820077 PROMET I KOMUNIKACIJE-NPOO-C.1.4. (C.7.1.), C2.3.R.4.</w:t>
      </w:r>
    </w:p>
    <w:tbl>
      <w:tblPr>
        <w:tblStyle w:val="StilTablice"/>
        <w:tblW w:w="10206" w:type="dxa"/>
        <w:jc w:val="center"/>
        <w:tblLook w:val="04A0" w:firstRow="1" w:lastRow="0" w:firstColumn="1" w:lastColumn="0" w:noHBand="0" w:noVBand="1"/>
      </w:tblPr>
      <w:tblGrid>
        <w:gridCol w:w="1693"/>
        <w:gridCol w:w="2024"/>
        <w:gridCol w:w="2024"/>
        <w:gridCol w:w="2024"/>
        <w:gridCol w:w="1220"/>
        <w:gridCol w:w="1221"/>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T820077-PROMET I KOMUNIKACIJE-NPOO-C.1.4. (C.7.1.), C2.3.R.4.</w:t>
            </w:r>
          </w:p>
        </w:tc>
        <w:tc>
          <w:tcPr>
            <w:tcW w:w="2041" w:type="dxa"/>
          </w:tcPr>
          <w:p w:rsidR="00895DD6" w:rsidRDefault="00F31687">
            <w:pPr>
              <w:pStyle w:val="CellColumn"/>
              <w:jc w:val="right"/>
            </w:pPr>
            <w:r>
              <w:rPr>
                <w:rFonts w:cs="Times New Roman"/>
              </w:rPr>
              <w:t>35.266.550</w:t>
            </w:r>
          </w:p>
        </w:tc>
        <w:tc>
          <w:tcPr>
            <w:tcW w:w="2041" w:type="dxa"/>
          </w:tcPr>
          <w:p w:rsidR="00895DD6" w:rsidRDefault="00F31687">
            <w:pPr>
              <w:pStyle w:val="CellColumn"/>
              <w:jc w:val="right"/>
            </w:pPr>
            <w:r>
              <w:rPr>
                <w:rFonts w:cs="Times New Roman"/>
              </w:rPr>
              <w:t>47.019.153</w:t>
            </w:r>
          </w:p>
        </w:tc>
        <w:tc>
          <w:tcPr>
            <w:tcW w:w="2041" w:type="dxa"/>
          </w:tcPr>
          <w:p w:rsidR="00895DD6" w:rsidRDefault="00F31687">
            <w:pPr>
              <w:pStyle w:val="CellColumn"/>
              <w:jc w:val="right"/>
            </w:pPr>
            <w:r>
              <w:rPr>
                <w:rFonts w:cs="Times New Roman"/>
              </w:rPr>
              <w:t>45.702.819</w:t>
            </w:r>
          </w:p>
        </w:tc>
        <w:tc>
          <w:tcPr>
            <w:tcW w:w="1224" w:type="dxa"/>
          </w:tcPr>
          <w:p w:rsidR="00895DD6" w:rsidRDefault="00F31687">
            <w:pPr>
              <w:pStyle w:val="CellColumn"/>
              <w:jc w:val="right"/>
            </w:pPr>
            <w:r>
              <w:rPr>
                <w:rFonts w:cs="Times New Roman"/>
              </w:rPr>
              <w:t>97,2</w:t>
            </w:r>
          </w:p>
        </w:tc>
        <w:tc>
          <w:tcPr>
            <w:tcW w:w="1224" w:type="dxa"/>
          </w:tcPr>
          <w:p w:rsidR="00895DD6" w:rsidRDefault="00F31687">
            <w:pPr>
              <w:pStyle w:val="CellColumn"/>
              <w:jc w:val="right"/>
            </w:pPr>
            <w:r>
              <w:rPr>
                <w:rFonts w:cs="Times New Roman"/>
              </w:rPr>
              <w:t>129,6</w:t>
            </w:r>
          </w:p>
        </w:tc>
      </w:tr>
    </w:tbl>
    <w:p w:rsidR="00895DD6" w:rsidRDefault="00895DD6">
      <w:pPr>
        <w:jc w:val="left"/>
      </w:pPr>
    </w:p>
    <w:p w:rsidR="00895DD6" w:rsidRDefault="00F31687">
      <w:pPr>
        <w:pStyle w:val="Heading8"/>
        <w:jc w:val="left"/>
      </w:pPr>
      <w:r>
        <w:t>Zakonske i druge pravne osnove</w:t>
      </w:r>
    </w:p>
    <w:p w:rsidR="00895DD6" w:rsidRDefault="00F31687">
      <w:r>
        <w:t>- Uredba (EU) 2021/241 Europskog Parlamenta i Vijeća od 12. veljače 2021. o uspostavi Mehanizma za oporavak i otporno</w:t>
      </w:r>
      <w:r>
        <w:t xml:space="preserve">st </w:t>
      </w:r>
    </w:p>
    <w:p w:rsidR="00895DD6" w:rsidRDefault="00F31687">
      <w:r>
        <w:t xml:space="preserve">- Odluka o sustavu upravljanja i praćenja provedbe aktivnosti u okviru Nacionalnog plana oporavka i otpornosti 2021. – 2026. </w:t>
      </w:r>
    </w:p>
    <w:p w:rsidR="00895DD6" w:rsidRDefault="00F31687">
      <w:r>
        <w:t xml:space="preserve">- Nacionalna razvojna strategija Republike Hrvatske do 2030. godine  </w:t>
      </w:r>
    </w:p>
    <w:p w:rsidR="00895DD6" w:rsidRDefault="00F31687">
      <w:r>
        <w:t xml:space="preserve">- Nacionalni plan oporavka i otpornosti 2021.-2026., srpanj 2021. te Dodaci Nacionalnom planu oporavka i otpornosti 2021.-2026. iz studenog 2023., travnja 2025. i listopada 2025. </w:t>
      </w:r>
    </w:p>
    <w:p w:rsidR="00895DD6" w:rsidRDefault="00F31687">
      <w:r>
        <w:t>- Sporazum o delegiranim poslovima između Tijela državne uprave nadležnih za</w:t>
      </w:r>
      <w:r>
        <w:t xml:space="preserve"> komponentu/podkomponentu Nacionalnog plana oporavka i otpornosti i Provedbenih tijela od 17. svibnja 2022.</w:t>
      </w:r>
    </w:p>
    <w:p w:rsidR="00895DD6" w:rsidRDefault="00F31687">
      <w:pPr>
        <w:pStyle w:val="Heading8"/>
        <w:jc w:val="left"/>
      </w:pPr>
      <w:r>
        <w:t>Opis aktivnosti</w:t>
      </w:r>
    </w:p>
    <w:p w:rsidR="00895DD6" w:rsidRDefault="00F31687">
      <w:r>
        <w:t>Europska komisija je krajem svibnja 2020., slijedom COVID-19 pandemije, predstavila vrlo sveobuhvatan paket u kojem je povezala budu</w:t>
      </w:r>
      <w:r>
        <w:t>ći višegodišnji financijski okvir (VFO) 2021.-2027. s posebnom pažnjom na oporavku u okviru instrumenta „EU sljedeće generacije“ (eng. Next Generation EU - NGEU). Jedan od pojedinačnih programa u okviru EU sljedeće generacije je Mehanizam za oporavak i otp</w:t>
      </w:r>
      <w:r>
        <w:t xml:space="preserve">ornost (eng. Recovery and Resilience Facility – RRF) u sklopu kojeg države članice pripremaju nacionalne planove za oporavak i otpornost kojima se utvrđuje plan reformi i ulaganja dotične države članice.  </w:t>
      </w:r>
    </w:p>
    <w:p w:rsidR="00895DD6" w:rsidRDefault="00F31687">
      <w:r>
        <w:t>Temeljem Odluke o sustavu upravljanja i praćenja p</w:t>
      </w:r>
      <w:r>
        <w:t xml:space="preserve">rovedbe aktivnosti u okviru NPOO, MMPI je imenovan kao NT za investicije podkomponente  C1.4. Razvoj konkurentnog, energetski održivog i učinkovitog prometnog sustava, za </w:t>
      </w:r>
      <w:r>
        <w:lastRenderedPageBreak/>
        <w:t>dio investicija podkomponente C7.1. Energetika i održivi promet te za dvije investici</w:t>
      </w:r>
      <w:r>
        <w:t xml:space="preserve">je unutar C2.3. Digitalna transformacija društva i javne uprave. </w:t>
      </w:r>
    </w:p>
    <w:p w:rsidR="00895DD6" w:rsidRDefault="00F31687">
      <w:r>
        <w:t>Od početka provedbe do kraja 2025. sklopljeno je 53 Ugovora o dodjeli bespovratnih sredstava, od kojih 17 tijekom 2025. Međutim, u 2025. raskinuto je 17 Ugovora te u konačnici ukupna vrijedn</w:t>
      </w:r>
      <w:r>
        <w:t xml:space="preserve">ost sklopljenih Ugovora iznosi 486.465.972,63 EUR. Završeno je ukupno 5 projekata, od kojih slijedeća 3 u 2025.: </w:t>
      </w:r>
    </w:p>
    <w:p w:rsidR="00895DD6" w:rsidRDefault="00F31687">
      <w:r>
        <w:t>Modernizacija dionice Zagreb Kustošija-Zagreb ZK-Zagreb GK – provedbom projekta obnovljena je i nadograđena dvokolosiječna željeznička pruga n</w:t>
      </w:r>
      <w:r>
        <w:t xml:space="preserve">a dionici Zagreb Kustošija-Zagreb Zapadni kolodvor-Zagreb Glavni kolodvor u duljini od 3,4 km, čime je poboljšana željeznička infrastruktura, odnosno povećan kapacitet i propusna moć prijevoza ljudi i robe predmetnom dionicom željezničke pruge.  </w:t>
      </w:r>
    </w:p>
    <w:p w:rsidR="00895DD6" w:rsidRDefault="00F31687">
      <w:r>
        <w:t>Elektrifi</w:t>
      </w:r>
      <w:r>
        <w:t>kacija i ozelenjivanje sustava prihvata i otpremu zrakoplova te električno napajanje zrakoplova u Zračnoj luci Zadar – provedbom projekta zamijenjen je dio postojećeg sustava prihvata i otpreme zrakoplova koji se napaja fosilnim gorivima sa opremom na elek</w:t>
      </w:r>
      <w:r>
        <w:t>trični pogon te je osiguran ekološki prihvatljiv sustav napajanja zrakoplova i opreme iz obnovljivih izvora energije sa krajnjim ciljem smanjenja emisije štetnih plinova u okoliš. Izvršenim radovima na stajanci Zračne luke Zadar postavljeni su fiksni prikl</w:t>
      </w:r>
      <w:r>
        <w:t>jučci za električno napajanje zrakoplova, odnosno stacionarne pretvaračke jedinice koje opskrbljuju električnom energijom zrakoplove na parkirnim pozicijama. Provedbom je uspostavljen potpuno elektrificiran i ekološki prihvatljiv sustav za prihvat i otprem</w:t>
      </w:r>
      <w:r>
        <w:t xml:space="preserve">u zrakoplova u zračnoj luci Zadar. </w:t>
      </w:r>
    </w:p>
    <w:p w:rsidR="00895DD6" w:rsidRDefault="00F31687">
      <w:r>
        <w:t>Izvještajno upravljački sustav putničkog i teretnog prijevoza u cestovnom promet - provedbom projekta uspostavljen je Izvještajno-upravljački sustav putničkog i teretnog prijevoza u cestovnom prometu, koji doprinosi pove</w:t>
      </w:r>
      <w:r>
        <w:t xml:space="preserve">ćanju sigurnosti cestovnog prometa te digitalizaciji hrvatskog prometnog sektora povezivanjem podataka iz Sustava za središnju obradu tahografskih podataka, nacionalne evidencije tahografskih kartica i povezanih evidencija koje su u nadležnosti MMPI-ja. U </w:t>
      </w:r>
      <w:r>
        <w:t>okviru projekta je uspostavljena odgovarajuća ICT infrastruktura koja omogućava daljnje skaliranje i prikupljanje novih podataka, a uspostava i razvoj sustava temeljili su se na open-source tehnologiji s ciljem unaprjeđenja analize i obrade velikih količin</w:t>
      </w:r>
      <w:r>
        <w:t xml:space="preserve">a tahografskih i drugih podataka. </w:t>
      </w:r>
    </w:p>
    <w:p w:rsidR="00895DD6" w:rsidRDefault="00F31687">
      <w:r>
        <w:t>Uz navedeno, izvršenje proračuna 2025. odnosi se na plaćanja za: projekte Okvirnog nacionalnog programa za razvoj infrastrukture širokopojasnog pristupa u područjima u kojima ne postoji dostatan komercijalni interes za ul</w:t>
      </w:r>
      <w:r>
        <w:t>aganja, „Razvoj sustava za napajanje vodikom „HERMES““, „Modernizacija informatičkog i prodajnog sustava“, „Uklanjanje "uskih grla" na željezničkoj infrastrukturi“, „Primjena zelenih tehnologija u željezničkom putničkom prijevozu“, projekte nabave niskopod</w:t>
      </w:r>
      <w:r>
        <w:t xml:space="preserve">nih tramvaja za Zagreb i Osijek te za projekt „Izgradnja pasivne elektroničke komunikacijske infrastrukture“. </w:t>
      </w:r>
    </w:p>
    <w:p w:rsidR="00895DD6" w:rsidRDefault="00F31687">
      <w:r>
        <w:t>Od početka provedbe do kraja 2025. izvršeno je ukupno 108 isplata korisnicima, od kojih 80 prije krajnjeg roka za plaćanje. U kumulativnom iskazu</w:t>
      </w:r>
      <w:r>
        <w:t xml:space="preserve"> pokazatelja rezultata, 26 plaćanja korisnicima izvršeno je s krajnjim rokom plaćanja, a 2 nakon krajnjeg roka. Isplate korisnicima izvršavane su u najkraćem mogućem roku po primitku odobrenih Zahtjeva za plaćanje od SAFU-a.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w:t>
            </w:r>
            <w:r>
              <w:t>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izvršenih isplata korisniku prije krajnjeg roka za plaćanje</w:t>
            </w:r>
          </w:p>
        </w:tc>
        <w:tc>
          <w:tcPr>
            <w:tcW w:w="2551" w:type="dxa"/>
          </w:tcPr>
          <w:p w:rsidR="00895DD6" w:rsidRDefault="00F31687">
            <w:pPr>
              <w:pStyle w:val="CellColumn"/>
              <w:jc w:val="left"/>
            </w:pPr>
            <w:r>
              <w:rPr>
                <w:rFonts w:cs="Times New Roman"/>
              </w:rPr>
              <w:t>Udio izvršenih isplata korisniku prije krajnjeg roka za plaćanje u ukupnom broju izvršenih isplata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45</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45</w:t>
            </w:r>
          </w:p>
        </w:tc>
        <w:tc>
          <w:tcPr>
            <w:tcW w:w="1020" w:type="dxa"/>
          </w:tcPr>
          <w:p w:rsidR="00895DD6" w:rsidRDefault="00F31687">
            <w:pPr>
              <w:pStyle w:val="CellColumn"/>
              <w:jc w:val="right"/>
            </w:pPr>
            <w:r>
              <w:rPr>
                <w:rFonts w:cs="Times New Roman"/>
              </w:rPr>
              <w:t>74</w:t>
            </w:r>
          </w:p>
        </w:tc>
      </w:tr>
    </w:tbl>
    <w:p w:rsidR="00895DD6" w:rsidRDefault="00895DD6">
      <w:pPr>
        <w:jc w:val="left"/>
      </w:pPr>
    </w:p>
    <w:p w:rsidR="00895DD6" w:rsidRDefault="00F31687">
      <w:pPr>
        <w:pStyle w:val="Heading4"/>
      </w:pPr>
      <w:r>
        <w:t>T820079 PROGRAM KONKURENTNOST I KOHEZIJA 2021.-2027.</w:t>
      </w:r>
    </w:p>
    <w:tbl>
      <w:tblPr>
        <w:tblStyle w:val="StilTablice"/>
        <w:tblW w:w="10206" w:type="dxa"/>
        <w:jc w:val="center"/>
        <w:tblLook w:val="04A0" w:firstRow="1" w:lastRow="0" w:firstColumn="1" w:lastColumn="0" w:noHBand="0" w:noVBand="1"/>
      </w:tblPr>
      <w:tblGrid>
        <w:gridCol w:w="1881"/>
        <w:gridCol w:w="1968"/>
        <w:gridCol w:w="1969"/>
        <w:gridCol w:w="1969"/>
        <w:gridCol w:w="1206"/>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T820079-PROGRAM KONKURENTNOST I KOHEZIJA 2021.-2027.</w:t>
            </w:r>
          </w:p>
        </w:tc>
        <w:tc>
          <w:tcPr>
            <w:tcW w:w="2041" w:type="dxa"/>
          </w:tcPr>
          <w:p w:rsidR="00895DD6" w:rsidRDefault="00F31687">
            <w:pPr>
              <w:pStyle w:val="CellColumn"/>
              <w:jc w:val="right"/>
            </w:pPr>
            <w:r>
              <w:rPr>
                <w:rFonts w:cs="Times New Roman"/>
              </w:rPr>
              <w:t>40.192.219</w:t>
            </w:r>
          </w:p>
        </w:tc>
        <w:tc>
          <w:tcPr>
            <w:tcW w:w="2041" w:type="dxa"/>
          </w:tcPr>
          <w:p w:rsidR="00895DD6" w:rsidRDefault="00F31687">
            <w:pPr>
              <w:pStyle w:val="CellColumn"/>
              <w:jc w:val="right"/>
            </w:pPr>
            <w:r>
              <w:rPr>
                <w:rFonts w:cs="Times New Roman"/>
              </w:rPr>
              <w:t>88.931.489</w:t>
            </w:r>
          </w:p>
        </w:tc>
        <w:tc>
          <w:tcPr>
            <w:tcW w:w="2041" w:type="dxa"/>
          </w:tcPr>
          <w:p w:rsidR="00895DD6" w:rsidRDefault="00F31687">
            <w:pPr>
              <w:pStyle w:val="CellColumn"/>
              <w:jc w:val="right"/>
            </w:pPr>
            <w:r>
              <w:rPr>
                <w:rFonts w:cs="Times New Roman"/>
              </w:rPr>
              <w:t>78.217.337</w:t>
            </w:r>
          </w:p>
        </w:tc>
        <w:tc>
          <w:tcPr>
            <w:tcW w:w="1224" w:type="dxa"/>
          </w:tcPr>
          <w:p w:rsidR="00895DD6" w:rsidRDefault="00F31687">
            <w:pPr>
              <w:pStyle w:val="CellColumn"/>
              <w:jc w:val="right"/>
            </w:pPr>
            <w:r>
              <w:rPr>
                <w:rFonts w:cs="Times New Roman"/>
              </w:rPr>
              <w:t>88,0</w:t>
            </w:r>
          </w:p>
        </w:tc>
        <w:tc>
          <w:tcPr>
            <w:tcW w:w="1224" w:type="dxa"/>
          </w:tcPr>
          <w:p w:rsidR="00895DD6" w:rsidRDefault="00F31687">
            <w:pPr>
              <w:pStyle w:val="CellColumn"/>
              <w:jc w:val="right"/>
            </w:pPr>
            <w:r>
              <w:rPr>
                <w:rFonts w:cs="Times New Roman"/>
              </w:rPr>
              <w:t>194,6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institucionalnom okviru za korištenje fondova Europske unije u Republici Hrvatskoj </w:t>
      </w:r>
    </w:p>
    <w:p w:rsidR="00895DD6" w:rsidRDefault="00F31687">
      <w:r>
        <w:t>- Uredba o tijelima u Sustavu upravljanja i kontrole za provedbu programa iz područja konkurentnosti i kohezije za financijsko razdoblje 2021. – 2027. (dalje: Ure</w:t>
      </w:r>
      <w:r>
        <w:t xml:space="preserve">dba)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(dalje: NRS 2030) </w:t>
      </w:r>
    </w:p>
    <w:p w:rsidR="00895DD6" w:rsidRDefault="00F31687">
      <w:r>
        <w:t>- Program Konkurentnost i kohezija 2021.-2027., izmjena odobrena od stran</w:t>
      </w:r>
      <w:r>
        <w:t xml:space="preserve">e EK iz kolovoza 2025. </w:t>
      </w:r>
    </w:p>
    <w:p w:rsidR="00895DD6" w:rsidRDefault="00F31687">
      <w:r>
        <w:t xml:space="preserve">- Sporazum o obavljanju delegiranih funkcija u okviru Programa Konkurentnost i kohezija 2021. – 2027., siječanj 2024.  </w:t>
      </w:r>
    </w:p>
    <w:p w:rsidR="00895DD6" w:rsidRDefault="00F31687">
      <w:r>
        <w:t>- Sporazum o korištenju bespovratnih sredstava tehničke pomoći Programa Konkurentnost i kohezija 2021.-2027., ru</w:t>
      </w:r>
      <w:r>
        <w:t xml:space="preserve">jan 2024. </w:t>
      </w:r>
    </w:p>
    <w:p w:rsidR="00895DD6" w:rsidRDefault="00F31687">
      <w:r>
        <w:t>- Sporazum o utvrđivanju uvjeta za dodjelu javnih sredstava u okviru operacija iz Programa konkurentnost i kohezija za financijsko razdoblje 2021.-2027., te o obradi osobnih podataka, listopad 2025.</w:t>
      </w:r>
    </w:p>
    <w:p w:rsidR="00895DD6" w:rsidRDefault="00F31687">
      <w:pPr>
        <w:pStyle w:val="Heading8"/>
        <w:jc w:val="left"/>
      </w:pPr>
      <w:r>
        <w:t>Opis aktivnosti</w:t>
      </w:r>
    </w:p>
    <w:p w:rsidR="00895DD6" w:rsidRDefault="00F31687">
      <w:r>
        <w:t>Europska komisija je 24. kolov</w:t>
      </w:r>
      <w:r>
        <w:t>oza 2022. usvojila Sporazum o partnerstvu s Republikom Hrvatskom za financijsko razdoblje 2021. – 2027., utvrđujući strategiju ulaganja u iznosu od 9 milijardi EUR iz fondova EU za gospodarski i društveni razvoj do 2027. PKK 2021.-2027. postavlja ciljeve i</w:t>
      </w:r>
      <w:r>
        <w:t xml:space="preserve"> prioritete za učinkovito korištenje Europskog fonda za regionalni razvoj (EFRR) i Kohezijskog fonda (KF) za razdoblje 2021.-2027. Glavni cilj podržanih intervencija je ojačati gospodarstvo, poduprijeti digitalnu i zelenu tranziciju, digitalizacija za građ</w:t>
      </w:r>
      <w:r>
        <w:t xml:space="preserve">ane i poduzeća, poboljšati povezanost i mobilnost u cijeloj Republici Hrvatskoj i ojačati kvalitetu života stanovništva. </w:t>
      </w:r>
    </w:p>
    <w:p w:rsidR="00895DD6" w:rsidRDefault="00F31687">
      <w:r>
        <w:t>PKK 2021.-2027. se temelji na NRS 2030, najvišem aktu strateškog planiranja u Republici Hrvatskoj koji određuje trenutno stanje, razvo</w:t>
      </w:r>
      <w:r>
        <w:t xml:space="preserve">jne potencijale, viziju, smjernice razvoja, strateške ciljeve i scenarije razvoja. Ulaganja iz EU fondova doprinijet će uravnoteženom regionalnom razvoju. </w:t>
      </w:r>
    </w:p>
    <w:p w:rsidR="00895DD6" w:rsidRDefault="00F31687">
      <w:r>
        <w:t>Sukladno odredbama Uredbe, MMPI djeluje u svojstvu PT1 za relevantne specifične ciljeve, dok je u sv</w:t>
      </w:r>
      <w:r>
        <w:t xml:space="preserve">ojstvu Posredničkog tijela 2 (dalje: PT2) nadležna Središnja agencija za financiranje i ugovaranje programa i projekata Europske unije (dalje: SAFU). </w:t>
      </w:r>
    </w:p>
    <w:p w:rsidR="00895DD6" w:rsidRDefault="00F31687">
      <w:r>
        <w:t>U novom financijskom razdoblju 2021.-2027. nastavila se provedba 14 projekata koji su fazirani, a čija je</w:t>
      </w:r>
      <w:r>
        <w:t xml:space="preserve"> provedba započela u OPKK 2014. – 2020. Nastavlja se financirati prometna infrastruktura sredstvima KF i EFRR, s razdobljem prihvatljivosti troškova do kraja 2029., a 2030. je zadnja godina financiranja iz PKK 2021.-2027. </w:t>
      </w:r>
    </w:p>
    <w:p w:rsidR="00895DD6" w:rsidRDefault="00F31687">
      <w:r>
        <w:t>Od početka provedbe do kraja 2025</w:t>
      </w:r>
      <w:r>
        <w:t>. sklopljeno je 36 Ugovora o dodjeli bespovratnih sredstava ukupne vrijednosti 833.752.070,58 EUR bespovratnih sredstava. Tijekom 2025. potpisano je 15 Ugovora u iznosu od 279.384.821,65 EUR bespovratnih sredstava , od kojih 9 za nove lučke projekte u izno</w:t>
      </w:r>
      <w:r>
        <w:t xml:space="preserve">su od 104.135.800,39 EUR, 3 cestovna projekta u iznosu od 107.579.926,51 EUR, te 2 projekta nabave niskopodnih tramvaja i projekt Rekonstrukcija okretišta Mihaljevac u iznosu od 67.669.094,75 EUR. Završeno je ukupno 4 projekta, od kojih 2 tijekom 2025.. </w:t>
      </w:r>
    </w:p>
    <w:p w:rsidR="00895DD6" w:rsidRDefault="00F31687">
      <w:r>
        <w:t>R</w:t>
      </w:r>
      <w:r>
        <w:t xml:space="preserve">ekonstrukcija okretišta Mihaljevac - provedbom projekta izvršena je rekonstrukcija okretišta, uključujući kolosijeke, perone, dio pješačke staze, novi potporni zid i stubište. Izvedeni su radovi na autobusnom terminalu i parkiralištu te na taxi-stajalištu </w:t>
      </w:r>
      <w:r>
        <w:t>s pripadajućim elementima (rampom) koji omogućuju pristup osobama smanjene pokretljivosti. Postavljeni su tipski kontejneri za djelatnike ZET-a, prodaju karata te javni toalet. Zahvat je uključivao uređenje perona s urbanom opremom, sustav odvodnje oborins</w:t>
      </w:r>
      <w:r>
        <w:t xml:space="preserve">kih voda, javnu rasvjetu, kontaktnu tramvajsku mrežu, krajobrazno uređenje kao i uklanjanje postojećih objekata. Na svim ulaznim tramvajskim i autobusnim peronima postavljeni su info-stupovi s prikazom dolaska vozila na LED displeju.  </w:t>
      </w:r>
    </w:p>
    <w:p w:rsidR="00895DD6" w:rsidRDefault="00F31687">
      <w:r>
        <w:t>Rekonstrukcija i san</w:t>
      </w:r>
      <w:r>
        <w:t>acija obale u luci Rab – FAZA 2 - provedbom projekta izgrađen je gat 3 ukupne dužine oko 44 metra, širine oko 8 metara te površine zahvata 351,60 m2 koji služi za prihvat linijskih putničkih brodova i zaštitu akvatorija luke i predstavlja dio operativne ob</w:t>
      </w:r>
      <w:r>
        <w:t xml:space="preserve">ale. Rekonstruirana je Obala P. Krešimira IV od gata 1 do gata 3 dužine </w:t>
      </w:r>
      <w:r>
        <w:lastRenderedPageBreak/>
        <w:t>oko 365 metara što čini uski obalni pojas u cilju priveza brodova na siguran način te je omogućena sigurna pješačka veza s gradom u svim vremenskim uvjetima što je do sada bilo onemogu</w:t>
      </w:r>
      <w:r>
        <w:t>ćeno u uvjetima visoke razine mora. Poboljšanjem kvalitete infrastrukture u luci Rab unaprijedila se kvaliteta javnog pomorskog prijevoza, povećao se kapacitet prihvata brodova u obalnom linijskom pomorskom prometu, povećala se sigurnost i mobilnost putnik</w:t>
      </w:r>
      <w:r>
        <w:t xml:space="preserve">a te poboljšala opća kvaliteta života stanovništva otoka. </w:t>
      </w:r>
    </w:p>
    <w:p w:rsidR="00895DD6" w:rsidRDefault="00F31687">
      <w:r>
        <w:t>Uz navedene projekte, izvršenje proračuna 2025. odnosi se na plaćanja za provedbu 9 lučkih projekata, projekt „Izgradnja ceste Solin - Stobreč - Dugi Rat – Omiš, dionica: čvor Mravince - čvor TTTS“</w:t>
      </w:r>
      <w:r>
        <w:t>, 2 projekta tramvajske infrastrukture na području Zagreba i Osijeka, 3 fazirana željeznička projekta („Projekt osiguranja i modernizacije željezničko-cestovnih prijelaza – II. faza“, „Rekonstrukcija postojećeg i izgradnja drugog kolosijeka na dionici Hrva</w:t>
      </w:r>
      <w:r>
        <w:t xml:space="preserve">tski Leskovac-Karlovac na željezničkoj pruzi M202 Zagreb Gk–Rijeka – 2. faza“, „Izrada studijske i projektne dokumentacije za modernizaciju željezničke pruge M202 Zagreb GK – Rijeka, dionica Karlovac – Oštarije – 2. faza“), projekt „Uvođenje inteligentnih </w:t>
      </w:r>
      <w:r>
        <w:t>transportnih sustava na funkcionalnom prometnom području Grada Splita“ te troškove prihvatljive za financiranje iz tehničke pomoći PKK 2021.-2027. dodijeljene MMPI-ju kao tijelu u sustavu upravljanja i kontrole za provedbu programa iz područja konkurentnos</w:t>
      </w:r>
      <w:r>
        <w:t xml:space="preserve">ti i kohezije za financijsko razdoblje 2021. – 2027. </w:t>
      </w:r>
    </w:p>
    <w:p w:rsidR="00895DD6" w:rsidRDefault="00F31687">
      <w:r>
        <w:t>Prilikom izrade Rebalansa Plana za 2025., u suradnji s Ministarstvom financija planirana su sredstva za projekt s obvezom ishođenja Odluke Vlade o financiranju projekta i davanju suglasnosti za pokretan</w:t>
      </w:r>
      <w:r>
        <w:t>je postupka dodjele sredstava Europske unije te preuzimanje obveza na teret sredstava državnog proračuna Republike Hrvatske, no u konačnici nisu odobreni svi planirani troškovi za isplatu. Manji iznos planiranih sredstava za 2025. nije utrošen zbog smanjen</w:t>
      </w:r>
      <w:r>
        <w:t xml:space="preserve">og iznosa odobrenih troškova projekata u odnosu na očekivano, a obzirom na izuzimanje troškova od strane PT2 do utvrđivanja relevantnih činjenica za prihvatljivost troška i podnošenje završnih ZNS-ova. </w:t>
      </w:r>
    </w:p>
    <w:p w:rsidR="00895DD6" w:rsidRDefault="00F31687">
      <w:r>
        <w:t>Od početka provedbe do kraja 2025. izvršeno je ukupno</w:t>
      </w:r>
      <w:r>
        <w:t xml:space="preserve"> 48 isplata korisnicima, od kojih 46 prije krajnjeg roka za plaćanje. U kumulativnom iskazu pokazatelja rezultata, odstupanje se odnosi na 1 plaćanje korisniku izvršeno s krajnjim rokom plaćanja te 1 nakon krajnjeg roka. Isplate korisnicima izvršavane su u</w:t>
      </w:r>
      <w:r>
        <w:t xml:space="preserve"> najkraćem mogućem roku po primitku odobrenih Zahtjeva za plaćanje od SAFU-a.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izvršenih isplata korisniku prije krajnjeg roka za plaćanje</w:t>
            </w:r>
          </w:p>
        </w:tc>
        <w:tc>
          <w:tcPr>
            <w:tcW w:w="2551" w:type="dxa"/>
          </w:tcPr>
          <w:p w:rsidR="00895DD6" w:rsidRDefault="00F31687">
            <w:pPr>
              <w:pStyle w:val="CellColumn"/>
              <w:jc w:val="left"/>
            </w:pPr>
            <w:r>
              <w:rPr>
                <w:rFonts w:cs="Times New Roman"/>
              </w:rPr>
              <w:t>Udio izvršenih isplata korisniku prije krajnjeg roka za plaćanje u ukupnom broju izvršenih isplata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96</w:t>
            </w:r>
          </w:p>
        </w:tc>
      </w:tr>
    </w:tbl>
    <w:p w:rsidR="00895DD6" w:rsidRDefault="00895DD6">
      <w:pPr>
        <w:jc w:val="left"/>
      </w:pPr>
    </w:p>
    <w:p w:rsidR="00895DD6" w:rsidRDefault="00F31687">
      <w:pPr>
        <w:pStyle w:val="Heading4"/>
      </w:pPr>
      <w:r>
        <w:t>T821080 FOND SOLIDARNOSTI EUROPSKE UNIJE-PODRUČJE PRIJEVOZA, POŠTA I TELEKOMUNIKACIJA</w:t>
      </w:r>
    </w:p>
    <w:tbl>
      <w:tblPr>
        <w:tblStyle w:val="StilTablice"/>
        <w:tblW w:w="10206" w:type="dxa"/>
        <w:jc w:val="center"/>
        <w:tblLook w:val="04A0" w:firstRow="1" w:lastRow="0" w:firstColumn="1" w:lastColumn="0" w:noHBand="0" w:noVBand="1"/>
      </w:tblPr>
      <w:tblGrid>
        <w:gridCol w:w="2136"/>
        <w:gridCol w:w="1902"/>
        <w:gridCol w:w="1888"/>
        <w:gridCol w:w="1888"/>
        <w:gridCol w:w="1189"/>
        <w:gridCol w:w="120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T821080-FOND SOLIDARNOSTI EUROPSKE UNIJE-PODRUČJE PRIJEVOZA, POŠTA I TELEKOMUNIKACIJA</w:t>
            </w:r>
          </w:p>
        </w:tc>
        <w:tc>
          <w:tcPr>
            <w:tcW w:w="2041" w:type="dxa"/>
          </w:tcPr>
          <w:p w:rsidR="00895DD6" w:rsidRDefault="00F31687">
            <w:pPr>
              <w:pStyle w:val="CellColumn"/>
              <w:jc w:val="right"/>
            </w:pPr>
            <w:r>
              <w:rPr>
                <w:rFonts w:cs="Times New Roman"/>
              </w:rPr>
              <w:t>14.858.358</w:t>
            </w:r>
          </w:p>
        </w:tc>
        <w:tc>
          <w:tcPr>
            <w:tcW w:w="2041" w:type="dxa"/>
          </w:tcPr>
          <w:p w:rsidR="00895DD6" w:rsidRDefault="00F31687">
            <w:pPr>
              <w:pStyle w:val="CellColumn"/>
              <w:jc w:val="right"/>
            </w:pPr>
            <w:r>
              <w:rPr>
                <w:rFonts w:cs="Times New Roman"/>
              </w:rPr>
              <w:t>1.559.274</w:t>
            </w:r>
          </w:p>
        </w:tc>
        <w:tc>
          <w:tcPr>
            <w:tcW w:w="2041" w:type="dxa"/>
          </w:tcPr>
          <w:p w:rsidR="00895DD6" w:rsidRDefault="00F31687">
            <w:pPr>
              <w:pStyle w:val="CellColumn"/>
              <w:jc w:val="right"/>
            </w:pPr>
            <w:r>
              <w:rPr>
                <w:rFonts w:cs="Times New Roman"/>
              </w:rPr>
              <w:t>1.559.273</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10,5</w:t>
            </w:r>
          </w:p>
        </w:tc>
      </w:tr>
    </w:tbl>
    <w:p w:rsidR="00895DD6" w:rsidRDefault="00895DD6">
      <w:pPr>
        <w:jc w:val="left"/>
      </w:pPr>
    </w:p>
    <w:p w:rsidR="00895DD6" w:rsidRDefault="00F31687">
      <w:pPr>
        <w:pStyle w:val="Heading8"/>
        <w:jc w:val="left"/>
      </w:pPr>
      <w:r>
        <w:t>Zakonske i druge pravne osnove</w:t>
      </w:r>
    </w:p>
    <w:p w:rsidR="00895DD6" w:rsidRDefault="00F31687">
      <w:r>
        <w:t>- Odluka Vlade Republike Hrvatske o načinu raspodjele bespovratnih financijskih sredstava iz Fo</w:t>
      </w:r>
      <w:r>
        <w:t xml:space="preserve">nda solidarnosti Europske unije za financiranje sanacije šteta od potresa na području Grada Zagreba, Krapinsko-zagorske županije, Zagrebačke županije, Sisačko-moslavačke županije, Karlovačke županije, Varaždinske županije, Međimurske </w:t>
      </w:r>
      <w:r>
        <w:lastRenderedPageBreak/>
        <w:t>županije, Brodsko-posa</w:t>
      </w:r>
      <w:r>
        <w:t xml:space="preserve">vske županije, Bjelovarsko-bilogorske županije i Koprivničko-križevačke županije, imenovanju i određivanju zaduženja nacionalnog koordinacijskog tijela, tijela odgovornih za provedbu financijskog doprinosa i neovisnog revizorskog tijela </w:t>
      </w:r>
    </w:p>
    <w:p w:rsidR="00895DD6" w:rsidRDefault="00F31687">
      <w:r>
        <w:t>- Odluka Vlade Rep</w:t>
      </w:r>
      <w:r>
        <w:t>ublike Hrvatske o načinu raspodjele bespovratnih financijskih sredstava iz Fonda solidarnosti Europske unije odobrenih za financiranje sanacije šteta od potresa na području Grada Zagreba, Krapinsko-zagorske županije i Zagrebačke županije, imenovanju i odre</w:t>
      </w:r>
      <w:r>
        <w:t xml:space="preserve">đivanju zaduženja nacionalnog koordinacijskog tijela, tijela odgovornih za provedbu financijskog doprinosa i neovisnog revizorskog tijela </w:t>
      </w:r>
    </w:p>
    <w:p w:rsidR="00895DD6" w:rsidRDefault="00F31687">
      <w:r>
        <w:t>- Odluka Vlade Republike Hrvatske o provođenju aktivnosti vezanih za operacije koje se financiraju iz Fonda solidarno</w:t>
      </w:r>
      <w:r>
        <w:t xml:space="preserve">sti Europske unije iz djelokruga tijela odgovornih za provedbu financijskog doprinosa </w:t>
      </w:r>
    </w:p>
    <w:p w:rsidR="00895DD6" w:rsidRDefault="00F31687">
      <w:r>
        <w:t xml:space="preserve">- Odluka Vlade Republike Hrvatske o nastavku financiranja projekata započetih iz Fonda solidarnosti Europske unije iz sredstava državnog proračuna Republike Hrvatske od </w:t>
      </w:r>
      <w:r>
        <w:t xml:space="preserve">28. lipnja 2023. </w:t>
      </w:r>
    </w:p>
    <w:p w:rsidR="00895DD6" w:rsidRDefault="00F31687">
      <w:r>
        <w:t>-</w:t>
      </w:r>
      <w:r>
        <w:tab/>
        <w:t>Uputa Ministarstva prostornoga uređenja, graditeljstva i državne imovine o načinu financiranja projekata započetih iz Fonda solidarnosti Europske unije od 27. srpnja 2023.</w:t>
      </w:r>
    </w:p>
    <w:p w:rsidR="00895DD6" w:rsidRDefault="00F31687">
      <w:pPr>
        <w:pStyle w:val="Heading8"/>
        <w:jc w:val="left"/>
      </w:pPr>
      <w:r>
        <w:t>Opis aktivnosti</w:t>
      </w:r>
    </w:p>
    <w:p w:rsidR="00895DD6" w:rsidRDefault="00F31687">
      <w:r>
        <w:t>Temeljem prethodno navedenih Odluka Vlade Republ</w:t>
      </w:r>
      <w:r>
        <w:t>ike Hrvatske o načinu raspodjele bespovratnih financijskih sredstava iz FSEU, MMPI je određeno kao TOPFD u području prijevoza, pošte i telekomunikacija. Obzirom na završetak provedbe FSEU, Vlada Republike Hrvatske donijela je Odluku o nastavku financiranja</w:t>
      </w:r>
      <w:r>
        <w:t xml:space="preserve"> projekata započetih iz FSEU iz sredstava državnog proračuna Republike Hrvatske, a NKT je donijelo Uputu o načinu financiranja projekata započetih iz FSEU. Navedenim dokumentima omogućen je dovršetak projekata započetih iz FSEU, kod kojih je u tijeku provo</w:t>
      </w:r>
      <w:r>
        <w:t xml:space="preserve">đenje ugovora o izvođenju radova, odnosno omogućeno je osiguranje sredstava u onom dijelu koji je potreban za završetak projekata iznad iznosa osiguranog iz FSEU. </w:t>
      </w:r>
    </w:p>
    <w:p w:rsidR="00895DD6" w:rsidRDefault="00F31687">
      <w:r>
        <w:t>Temeljem spomenute Odluke Vlade Republike Hrvatske od 28. lipnja 2023., donesena je Odluka o</w:t>
      </w:r>
      <w:r>
        <w:t xml:space="preserve"> jednostranoj izmjeni ugovora o dodjeli bespovratnih sredstava iz FSEU kod kojih provedba traje i u 2025. Tijekom 2025. izvršene su 3 isplate korisnicima u ukupnom iznosu od 1.559.093,27 EUR za odobrene troškove radova i nadzora. Preostala sredstva u iznos</w:t>
      </w:r>
      <w:r>
        <w:t>u od 180 EUR odnose se na troškove Uprave za EU fondove i strateško planiranje vezane uz izvršenje provjera na licu mjesta za FSEU projekte.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izvršenih isplata korisniku prije krajnjeg roka za plaćanje</w:t>
            </w:r>
          </w:p>
        </w:tc>
        <w:tc>
          <w:tcPr>
            <w:tcW w:w="2551" w:type="dxa"/>
          </w:tcPr>
          <w:p w:rsidR="00895DD6" w:rsidRDefault="00F31687">
            <w:pPr>
              <w:pStyle w:val="CellColumn"/>
              <w:jc w:val="left"/>
            </w:pPr>
            <w:r>
              <w:rPr>
                <w:rFonts w:cs="Times New Roman"/>
              </w:rPr>
              <w:t>Udio izvršenih isplata korisniku prije krajnjeg roka za plaćanje u ukupnom broju izvršenih isplata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53</w:t>
            </w:r>
          </w:p>
        </w:tc>
        <w:tc>
          <w:tcPr>
            <w:tcW w:w="1020" w:type="dxa"/>
          </w:tcPr>
          <w:p w:rsidR="00895DD6" w:rsidRDefault="00F31687">
            <w:pPr>
              <w:pStyle w:val="CellColumn"/>
              <w:jc w:val="right"/>
            </w:pPr>
            <w:r>
              <w:rPr>
                <w:rFonts w:cs="Times New Roman"/>
              </w:rPr>
              <w:t>Interna evidencija MMPI</w:t>
            </w:r>
          </w:p>
        </w:tc>
        <w:tc>
          <w:tcPr>
            <w:tcW w:w="1020" w:type="dxa"/>
          </w:tcPr>
          <w:p w:rsidR="00895DD6" w:rsidRDefault="00F31687">
            <w:pPr>
              <w:pStyle w:val="CellColumn"/>
              <w:jc w:val="right"/>
            </w:pPr>
            <w:r>
              <w:rPr>
                <w:rFonts w:cs="Times New Roman"/>
              </w:rPr>
              <w:t>55</w:t>
            </w:r>
          </w:p>
        </w:tc>
        <w:tc>
          <w:tcPr>
            <w:tcW w:w="1020" w:type="dxa"/>
          </w:tcPr>
          <w:p w:rsidR="00895DD6" w:rsidRDefault="00F31687">
            <w:pPr>
              <w:pStyle w:val="CellColumn"/>
              <w:jc w:val="right"/>
            </w:pPr>
            <w:r>
              <w:rPr>
                <w:rFonts w:cs="Times New Roman"/>
              </w:rPr>
              <w:t>55</w:t>
            </w:r>
          </w:p>
        </w:tc>
      </w:tr>
    </w:tbl>
    <w:p w:rsidR="00895DD6" w:rsidRDefault="00895DD6">
      <w:pPr>
        <w:jc w:val="left"/>
      </w:pPr>
    </w:p>
    <w:p w:rsidR="00895DD6" w:rsidRDefault="00F31687">
      <w:pPr>
        <w:pStyle w:val="Heading3"/>
      </w:pPr>
      <w:r>
        <w:rPr>
          <w:rFonts w:cs="Times New Roman"/>
        </w:rPr>
        <w:t>3112 INSPEKCIJSKI NADZOR CESTOVNOG PROMETA, CESTA I ŽIČARA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3112-INSPEKCIJSKI NADZOR CESTOVNOG PROMETA, CESTA I ŽIČARA</w:t>
            </w:r>
          </w:p>
        </w:tc>
        <w:tc>
          <w:tcPr>
            <w:tcW w:w="2041" w:type="dxa"/>
          </w:tcPr>
          <w:p w:rsidR="00895DD6" w:rsidRDefault="00F31687">
            <w:pPr>
              <w:pStyle w:val="CellColumn"/>
              <w:jc w:val="right"/>
            </w:pPr>
            <w:r>
              <w:rPr>
                <w:rFonts w:cs="Times New Roman"/>
              </w:rPr>
              <w:t>595.318</w:t>
            </w:r>
          </w:p>
        </w:tc>
        <w:tc>
          <w:tcPr>
            <w:tcW w:w="2041" w:type="dxa"/>
          </w:tcPr>
          <w:p w:rsidR="00895DD6" w:rsidRDefault="00F31687">
            <w:pPr>
              <w:pStyle w:val="CellColumn"/>
              <w:jc w:val="right"/>
            </w:pPr>
            <w:r>
              <w:rPr>
                <w:rFonts w:cs="Times New Roman"/>
              </w:rPr>
              <w:t>1.064.899</w:t>
            </w:r>
          </w:p>
        </w:tc>
        <w:tc>
          <w:tcPr>
            <w:tcW w:w="2041" w:type="dxa"/>
          </w:tcPr>
          <w:p w:rsidR="00895DD6" w:rsidRDefault="00F31687">
            <w:pPr>
              <w:pStyle w:val="CellColumn"/>
              <w:jc w:val="right"/>
            </w:pPr>
            <w:r>
              <w:rPr>
                <w:rFonts w:cs="Times New Roman"/>
              </w:rPr>
              <w:t>440.223</w:t>
            </w:r>
          </w:p>
        </w:tc>
        <w:tc>
          <w:tcPr>
            <w:tcW w:w="1224" w:type="dxa"/>
          </w:tcPr>
          <w:p w:rsidR="00895DD6" w:rsidRDefault="00F31687">
            <w:pPr>
              <w:pStyle w:val="CellColumn"/>
              <w:jc w:val="right"/>
            </w:pPr>
            <w:r>
              <w:rPr>
                <w:rFonts w:cs="Times New Roman"/>
              </w:rPr>
              <w:t>41,3</w:t>
            </w:r>
          </w:p>
        </w:tc>
        <w:tc>
          <w:tcPr>
            <w:tcW w:w="1224" w:type="dxa"/>
          </w:tcPr>
          <w:p w:rsidR="00895DD6" w:rsidRDefault="00F31687">
            <w:pPr>
              <w:pStyle w:val="CellColumn"/>
              <w:jc w:val="right"/>
            </w:pPr>
            <w:r>
              <w:rPr>
                <w:rFonts w:cs="Times New Roman"/>
              </w:rPr>
              <w:t>73,9</w:t>
            </w:r>
          </w:p>
        </w:tc>
      </w:tr>
    </w:tbl>
    <w:p w:rsidR="00895DD6" w:rsidRDefault="00895DD6">
      <w:pPr>
        <w:jc w:val="left"/>
      </w:pPr>
    </w:p>
    <w:p w:rsidR="00895DD6" w:rsidRDefault="00F31687">
      <w:pPr>
        <w:pStyle w:val="Heading8"/>
        <w:jc w:val="left"/>
      </w:pPr>
      <w:r>
        <w:lastRenderedPageBreak/>
        <w:t>Cilj 1. Unaprjeđenje kvalitete inspekcijskog nadzora cestovnog prometa, cesta i žičara</w:t>
      </w:r>
    </w:p>
    <w:p w:rsidR="00895DD6" w:rsidRDefault="00F31687">
      <w:pPr>
        <w:pStyle w:val="Heading8"/>
        <w:jc w:val="left"/>
      </w:pPr>
      <w:r>
        <w:t>Opis provedbe cilja programa</w:t>
      </w:r>
    </w:p>
    <w:p w:rsidR="00895DD6" w:rsidRDefault="00F31687">
      <w:r>
        <w:t>Razina sigurnosti, pouzdanosti i zaštite u prometu bitno ovisi o kvalitetnom nadzoru sustava cestovnog prometa, cestovne infrastrukture i žičara za prijevoz osoba. Svrsishodno provođenje preventivnih i represivnih mjera uvelike ovisi o razini opremljenosti</w:t>
      </w:r>
      <w:r>
        <w:t xml:space="preserve"> inspektora cestovnog prometa i cesta te se opremanjem i modernizacijom uređaja, opremom i aplikacijama za potrebe nadzora, uspostavljaju osnovni preduvjeti ostvarivanje godišnjeg plana rada kao i izvršavanje dužnosti u skladu s Uredbom (EU) br. 165/2014 E</w:t>
      </w:r>
      <w:r>
        <w:t xml:space="preserve">uropskog Parlamenta i Vijeća i Direktivom 2006/22/EZ Europskog Parlamenta i Vijeća.  </w:t>
      </w:r>
    </w:p>
    <w:p w:rsidR="00895DD6" w:rsidRDefault="00F31687">
      <w:r>
        <w:t>Tijekom 2025. godine nastavljeno je s intenzivnim aktivnostima na podizanju tehničke opremljenosti i stručnosti. Poseban naglasak stavljen je na osiguravanje adekvatnih r</w:t>
      </w:r>
      <w:r>
        <w:t xml:space="preserve">adnih uvjeta i preciznosti mjernih instrumenata, što uključuje nabavu službene radne i zaštitne odjeće te obuće, čime se jamči sigurnost i prepoznatljivost inspektora na terenu. </w:t>
      </w:r>
    </w:p>
    <w:p w:rsidR="00895DD6" w:rsidRDefault="00F31687">
      <w:r>
        <w:t xml:space="preserve">U svrhu kontrole teretnih  vozila, provedene su sljedeće aktivnosti: </w:t>
      </w:r>
    </w:p>
    <w:p w:rsidR="00895DD6" w:rsidRDefault="00F31687">
      <w:r>
        <w:t>•</w:t>
      </w:r>
      <w:r>
        <w:tab/>
        <w:t>Nabav</w:t>
      </w:r>
      <w:r>
        <w:t xml:space="preserve">ka  opreme: Nabavljene su dodatne vage za mjerenje međuosovinskog opterećenja. </w:t>
      </w:r>
    </w:p>
    <w:p w:rsidR="00895DD6" w:rsidRDefault="00F31687">
      <w:r>
        <w:t>•</w:t>
      </w:r>
      <w:r>
        <w:tab/>
        <w:t>Kalibracija uređaja: Provedena je redovita kalibracija opreme ( mjerne letve/mjerne vrpce ) za mjerenje visine i duljine vozila, što je preduvjet za pravnu utemeljenost inspe</w:t>
      </w:r>
      <w:r>
        <w:t xml:space="preserve">kcijskih nadzora. </w:t>
      </w:r>
    </w:p>
    <w:p w:rsidR="00895DD6" w:rsidRDefault="00F31687">
      <w:r>
        <w:t>•</w:t>
      </w:r>
      <w:r>
        <w:tab/>
        <w:t xml:space="preserve">Stručno usavršavanje: Kao odgovor na sve kompleksnije regulatorne zahtjeve, kontinuirano su provođene edukacije djelatnika radi podizanja razine njihove stručnosti i učinkovitosti u provedbi nadzora. </w:t>
      </w:r>
    </w:p>
    <w:p w:rsidR="00895DD6" w:rsidRDefault="00F31687">
      <w:r>
        <w:t xml:space="preserve">Dodatni napori u kontroli izravna </w:t>
      </w:r>
      <w:r>
        <w:t xml:space="preserve">su posljedica kroničnog manjka profesionalnih vozača i posljedične prenapregnutosti prometnog sustava. Takve okolnosti često dovode do pokušaja prekoračenja i učestalog kršenja propisa o radnim vremenima mobilnih radnika. </w:t>
      </w:r>
    </w:p>
    <w:p w:rsidR="00895DD6" w:rsidRDefault="00F31687">
      <w:r>
        <w:t>Stroži nadzor vremena vožnje i od</w:t>
      </w:r>
      <w:r>
        <w:t>mora nužan je kako bi se osiguralo da vozači ostanu unutar zakonskih normi, čime se izravno prevenira umor kao jedan od glavnih uzroka nesreća te uklanja potencijalna ugroza za sve ostale sudionike u cestovnom prometu.</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468"/>
        <w:gridCol w:w="2485"/>
        <w:gridCol w:w="1007"/>
        <w:gridCol w:w="1014"/>
        <w:gridCol w:w="1203"/>
        <w:gridCol w:w="1014"/>
        <w:gridCol w:w="1015"/>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ostvarenih mobilnih tehničkih pregleda od ukupno planiranih mobilnih tehničkih pregleda</w:t>
            </w:r>
          </w:p>
        </w:tc>
        <w:tc>
          <w:tcPr>
            <w:tcW w:w="2551" w:type="dxa"/>
          </w:tcPr>
          <w:p w:rsidR="00895DD6" w:rsidRDefault="00F31687">
            <w:pPr>
              <w:pStyle w:val="CellColumn"/>
              <w:jc w:val="left"/>
            </w:pPr>
            <w:r>
              <w:rPr>
                <w:rFonts w:cs="Times New Roman"/>
              </w:rPr>
              <w:t>Kontinuiranim provođenjem inspekcijskog nadzora tere</w:t>
            </w:r>
            <w:r>
              <w:rPr>
                <w:rFonts w:cs="Times New Roman"/>
              </w:rPr>
              <w:t>tnih vozila i autobusa znatno će se unaprijediti razina tehničke ispravnosti, a time doprinijeti zdravlju i sigurnosti mobilnih radnika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75</w:t>
            </w:r>
          </w:p>
        </w:tc>
        <w:tc>
          <w:tcPr>
            <w:tcW w:w="1020" w:type="dxa"/>
          </w:tcPr>
          <w:p w:rsidR="00895DD6" w:rsidRDefault="00F31687">
            <w:pPr>
              <w:pStyle w:val="CellColumn"/>
              <w:jc w:val="right"/>
            </w:pPr>
            <w:r>
              <w:rPr>
                <w:rFonts w:cs="Times New Roman"/>
              </w:rPr>
              <w:t xml:space="preserve">Ministarstvo mora, prometa i infrastrukture  </w:t>
            </w:r>
          </w:p>
          <w:p w:rsidR="00895DD6" w:rsidRDefault="00F31687">
            <w:pPr>
              <w:pStyle w:val="CellColumn"/>
              <w:jc w:val="right"/>
            </w:pPr>
            <w:r>
              <w:rPr>
                <w:rFonts w:cs="Times New Roman"/>
              </w:rPr>
              <w:t>(Plan mobilnih tehničkih pregleda)</w:t>
            </w:r>
          </w:p>
        </w:tc>
        <w:tc>
          <w:tcPr>
            <w:tcW w:w="1020" w:type="dxa"/>
          </w:tcPr>
          <w:p w:rsidR="00895DD6" w:rsidRDefault="00F31687">
            <w:pPr>
              <w:pStyle w:val="CellColumn"/>
              <w:jc w:val="right"/>
            </w:pPr>
            <w:r>
              <w:rPr>
                <w:rFonts w:cs="Times New Roman"/>
              </w:rPr>
              <w:t>76</w:t>
            </w:r>
          </w:p>
        </w:tc>
        <w:tc>
          <w:tcPr>
            <w:tcW w:w="1020" w:type="dxa"/>
          </w:tcPr>
          <w:p w:rsidR="00895DD6" w:rsidRDefault="00F31687">
            <w:pPr>
              <w:pStyle w:val="CellColumn"/>
              <w:jc w:val="right"/>
            </w:pPr>
            <w:r>
              <w:rPr>
                <w:rFonts w:cs="Times New Roman"/>
              </w:rPr>
              <w:t>80</w:t>
            </w:r>
          </w:p>
        </w:tc>
      </w:tr>
    </w:tbl>
    <w:p w:rsidR="00895DD6" w:rsidRDefault="00895DD6">
      <w:pPr>
        <w:jc w:val="left"/>
      </w:pPr>
    </w:p>
    <w:p w:rsidR="00895DD6" w:rsidRDefault="00F31687">
      <w:pPr>
        <w:pStyle w:val="Heading4"/>
      </w:pPr>
      <w:r>
        <w:t>K761028 RAZVOJ I UNAPRJEĐENJE SUSTAVA SIGURNOSTI I INSPEKCIJE CESTOVNOG PROMETA I CESTA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K761028-RAZVOJ I UNAPRJEĐENJE SUSTAVA SIGURNOSTI I INSPEKCIJE CESTOVNOG PROMETA I CESTA</w:t>
            </w:r>
          </w:p>
        </w:tc>
        <w:tc>
          <w:tcPr>
            <w:tcW w:w="2041" w:type="dxa"/>
          </w:tcPr>
          <w:p w:rsidR="00895DD6" w:rsidRDefault="00F31687">
            <w:pPr>
              <w:pStyle w:val="CellColumn"/>
              <w:jc w:val="right"/>
            </w:pPr>
            <w:r>
              <w:rPr>
                <w:rFonts w:cs="Times New Roman"/>
              </w:rPr>
              <w:t>595.318</w:t>
            </w:r>
          </w:p>
        </w:tc>
        <w:tc>
          <w:tcPr>
            <w:tcW w:w="2041" w:type="dxa"/>
          </w:tcPr>
          <w:p w:rsidR="00895DD6" w:rsidRDefault="00F31687">
            <w:pPr>
              <w:pStyle w:val="CellColumn"/>
              <w:jc w:val="right"/>
            </w:pPr>
            <w:r>
              <w:rPr>
                <w:rFonts w:cs="Times New Roman"/>
              </w:rPr>
              <w:t>1.064.899</w:t>
            </w:r>
          </w:p>
        </w:tc>
        <w:tc>
          <w:tcPr>
            <w:tcW w:w="2041" w:type="dxa"/>
          </w:tcPr>
          <w:p w:rsidR="00895DD6" w:rsidRDefault="00F31687">
            <w:pPr>
              <w:pStyle w:val="CellColumn"/>
              <w:jc w:val="right"/>
            </w:pPr>
            <w:r>
              <w:rPr>
                <w:rFonts w:cs="Times New Roman"/>
              </w:rPr>
              <w:t>440.223</w:t>
            </w:r>
          </w:p>
        </w:tc>
        <w:tc>
          <w:tcPr>
            <w:tcW w:w="1224" w:type="dxa"/>
          </w:tcPr>
          <w:p w:rsidR="00895DD6" w:rsidRDefault="00F31687">
            <w:pPr>
              <w:pStyle w:val="CellColumn"/>
              <w:jc w:val="right"/>
            </w:pPr>
            <w:r>
              <w:rPr>
                <w:rFonts w:cs="Times New Roman"/>
              </w:rPr>
              <w:t>41,3</w:t>
            </w:r>
          </w:p>
        </w:tc>
        <w:tc>
          <w:tcPr>
            <w:tcW w:w="1224" w:type="dxa"/>
          </w:tcPr>
          <w:p w:rsidR="00895DD6" w:rsidRDefault="00F31687">
            <w:pPr>
              <w:pStyle w:val="CellColumn"/>
              <w:jc w:val="right"/>
            </w:pPr>
            <w:r>
              <w:rPr>
                <w:rFonts w:cs="Times New Roman"/>
              </w:rPr>
              <w:t>73,9</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prijevozu u cestovnom prometu, članci 2. i 109.  </w:t>
      </w:r>
    </w:p>
    <w:p w:rsidR="00895DD6" w:rsidRDefault="00F31687">
      <w:r>
        <w:t xml:space="preserve">- Zakon o sigurnosti prometa na cestama, članak 1.a; članak 4., članak 153., stavak 3.; članak 154., stavak 5.; članak 236. i članak 259., stavak 1.  </w:t>
      </w:r>
    </w:p>
    <w:p w:rsidR="00895DD6" w:rsidRDefault="00F31687">
      <w:r>
        <w:t xml:space="preserve"> - Zakon o radnom vremenu, obveznim odmorima mobilnih radnika i uređajima za bilježenje u cestovnom prome</w:t>
      </w:r>
      <w:r>
        <w:t xml:space="preserve">tu, članci 2., 31. i 32.; članak 33., stavci 5., 6., i 7.; članak 34., stavak 5. i članak 6.  </w:t>
      </w:r>
    </w:p>
    <w:p w:rsidR="00895DD6" w:rsidRDefault="00F31687">
      <w:r>
        <w:t xml:space="preserve">- Zakon o cestama, članci 1.a i 111.  </w:t>
      </w:r>
    </w:p>
    <w:p w:rsidR="00895DD6" w:rsidRDefault="00F31687">
      <w:r>
        <w:t xml:space="preserve">- Zakon o inspekciji cestovnog prometa i cesta, članci 11., 12., 34. i 37.  </w:t>
      </w:r>
    </w:p>
    <w:p w:rsidR="00895DD6" w:rsidRDefault="00F31687">
      <w:r>
        <w:t>- Zakon o prijevozu opasnih tvari, članci 3.,</w:t>
      </w:r>
      <w:r>
        <w:t xml:space="preserve"> 38. i 43.  </w:t>
      </w:r>
    </w:p>
    <w:p w:rsidR="00895DD6" w:rsidRDefault="00F31687">
      <w:r>
        <w:t xml:space="preserve">- ADR – Europski sporazum o međunarodnom cestovnom prijevozu opasnih tvari  </w:t>
      </w:r>
    </w:p>
    <w:p w:rsidR="00895DD6" w:rsidRDefault="00F31687">
      <w:r>
        <w:t xml:space="preserve">- Zakon o žičarama, članci 2., 26. i 27.   </w:t>
      </w:r>
    </w:p>
    <w:p w:rsidR="00895DD6" w:rsidRDefault="00F31687">
      <w:r>
        <w:t xml:space="preserve">- Pravilnik o obrascu iskaznice, obliku značke, opremi i službenoj odjeći inspektora cestovnog prometa i inspektora cesta, članci 17. i 18.  </w:t>
      </w:r>
    </w:p>
    <w:p w:rsidR="00895DD6" w:rsidRDefault="00F31687">
      <w:r>
        <w:t>- Pravilnik o označavanju službenih vozila inspekcije cestovnog prometa i cesta, članci 4., 5., 7. i 8.</w:t>
      </w:r>
    </w:p>
    <w:p w:rsidR="00895DD6" w:rsidRDefault="00F31687">
      <w:pPr>
        <w:pStyle w:val="Heading8"/>
        <w:jc w:val="left"/>
      </w:pPr>
      <w:r>
        <w:t>Opis aktiv</w:t>
      </w:r>
      <w:r>
        <w:t>nosti</w:t>
      </w:r>
    </w:p>
    <w:p w:rsidR="00895DD6" w:rsidRDefault="00F31687">
      <w:r>
        <w:t>U skladu s Uredbom (EU) br. 165/2014 Europskog Parlamenta i Vijeća i Direktivom 2006/22/EZ Europskog Parlamenta i Vijeća, a za potrebe inspekcijskih nadzora, potrebno je kontinuirano ulagati u opremanje i modernizaciju specijalnih uređaja, opreme i I</w:t>
      </w:r>
      <w:r>
        <w:t>T aplikacije. Sve države članice EU moraju se pobrinuti da su službenici za kontrolu na odgovarajući način osposobljeni za analizu zabilježenih podataka i provjeru tahografa kako bi se uspostavile učinkovite i usklađene aktivnosti inspekcijskih nadzora. Di</w:t>
      </w:r>
      <w:r>
        <w:t>rektivom 2006/22/EZ Europskog parlamenta i Vijeća od država članica zahtijeva se provedba minimalnog broja provjera na cesti te provjera u tvrtkama. Europska Komisija je naznačila potrebu jačanja provjera i sankcija naročito za socijalno zakonodavstvo u po</w:t>
      </w:r>
      <w:r>
        <w:t>slovima cestovnog prijevoza i posebno na povećanju broja provjera radi poticanja sistematske razmjene podataka između država članica i radi usklađivanja poslova nadzora i poticanja osposobljavanja službenika odgovornih za provođenje zakona. U tu svrhu opre</w:t>
      </w:r>
      <w:r>
        <w:t>manje se provodi za nabavku opreme i uređaja, zaštitne i radne obuće i odjeće, informatičke opreme te informatičkih sustava neophodnih za rad Inspekcije. Bitno je istaknuti da se kroz Sporazum između MUP-a i MMPI-a, kroz Nacionalni plan sigurnosti cestovno</w:t>
      </w:r>
      <w:r>
        <w:t xml:space="preserve">g prometa, doznačuju sredstva s ciljem financiranja nabavke vozila, uređaja i opreme te nadogradnje i održavanja informatičkih sustava »CRIS«. </w:t>
      </w:r>
    </w:p>
    <w:p w:rsidR="00895DD6" w:rsidRDefault="00F31687">
      <w:r>
        <w:t>Izvršenje financijskog plana odstupalo je od plana iz razloga što isporuka vozila sukladno provedenoj javnoj nab</w:t>
      </w:r>
      <w:r>
        <w:t>avi nije mogla biti izvršena tijekom 2025. godine jer je prema Ugovoru isporuka planirana u ožujku 2025. godine. Tijekom 2025. godine provedena je javna nabava za nabavu računalne opreme poput mobilnih skenera. Provedena je nabava službene radne odjeće i o</w:t>
      </w:r>
      <w:r>
        <w:t>buće, umjereni su mjerni instrumenti: mjerne letve/mjerne vrpce, nabavljene su vage za mjerenje međuosovinskog opterećeneja vozila.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Stupanj opremljenosti inspekcije adekvatnom opremom</w:t>
            </w:r>
          </w:p>
        </w:tc>
        <w:tc>
          <w:tcPr>
            <w:tcW w:w="2551" w:type="dxa"/>
          </w:tcPr>
          <w:p w:rsidR="00895DD6" w:rsidRDefault="00F31687">
            <w:pPr>
              <w:pStyle w:val="CellColumn"/>
              <w:jc w:val="left"/>
            </w:pPr>
            <w:r>
              <w:rPr>
                <w:rFonts w:cs="Times New Roman"/>
              </w:rPr>
              <w:t>Nabava i nadogradnja adekvatne opreme te jačanje administrativnih kapaciteta omogućiti će ostvarenje godišnjeg plana ukupnog broja inspekcijskih pregleda radnih dana vozača u cestovnom prijevozu tereta i putnika, te nadzora cesta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94</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95</w:t>
            </w:r>
          </w:p>
        </w:tc>
        <w:tc>
          <w:tcPr>
            <w:tcW w:w="1020" w:type="dxa"/>
          </w:tcPr>
          <w:p w:rsidR="00895DD6" w:rsidRDefault="00F31687">
            <w:pPr>
              <w:pStyle w:val="CellColumn"/>
              <w:jc w:val="right"/>
            </w:pPr>
            <w:r>
              <w:rPr>
                <w:rFonts w:cs="Times New Roman"/>
              </w:rPr>
              <w:t>95</w:t>
            </w:r>
          </w:p>
        </w:tc>
      </w:tr>
    </w:tbl>
    <w:p w:rsidR="00895DD6" w:rsidRDefault="00895DD6">
      <w:pPr>
        <w:jc w:val="left"/>
      </w:pPr>
    </w:p>
    <w:p w:rsidR="00895DD6" w:rsidRDefault="00F31687">
      <w:pPr>
        <w:pStyle w:val="Heading3"/>
      </w:pPr>
      <w:r>
        <w:rPr>
          <w:rFonts w:cs="Times New Roman"/>
        </w:rPr>
        <w:t>3113 RAZ</w:t>
      </w:r>
      <w:r>
        <w:rPr>
          <w:rFonts w:cs="Times New Roman"/>
        </w:rPr>
        <w:t>VOJ SUSTAVA ZRAČNOG PROMETA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3113-RAZVOJ SUSTAVA ZRAČNOG PROMETA</w:t>
            </w:r>
          </w:p>
        </w:tc>
        <w:tc>
          <w:tcPr>
            <w:tcW w:w="2041" w:type="dxa"/>
          </w:tcPr>
          <w:p w:rsidR="00895DD6" w:rsidRDefault="00F31687">
            <w:pPr>
              <w:pStyle w:val="CellColumn"/>
              <w:jc w:val="right"/>
            </w:pPr>
            <w:r>
              <w:rPr>
                <w:rFonts w:cs="Times New Roman"/>
              </w:rPr>
              <w:t>26.629.115</w:t>
            </w:r>
          </w:p>
        </w:tc>
        <w:tc>
          <w:tcPr>
            <w:tcW w:w="2041" w:type="dxa"/>
          </w:tcPr>
          <w:p w:rsidR="00895DD6" w:rsidRDefault="00F31687">
            <w:pPr>
              <w:pStyle w:val="CellColumn"/>
              <w:jc w:val="right"/>
            </w:pPr>
            <w:r>
              <w:rPr>
                <w:rFonts w:cs="Times New Roman"/>
              </w:rPr>
              <w:t>79.752.317</w:t>
            </w:r>
          </w:p>
        </w:tc>
        <w:tc>
          <w:tcPr>
            <w:tcW w:w="2041" w:type="dxa"/>
          </w:tcPr>
          <w:p w:rsidR="00895DD6" w:rsidRDefault="00F31687">
            <w:pPr>
              <w:pStyle w:val="CellColumn"/>
              <w:jc w:val="right"/>
            </w:pPr>
            <w:r>
              <w:rPr>
                <w:rFonts w:cs="Times New Roman"/>
              </w:rPr>
              <w:t>79.696.158</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299,3</w:t>
            </w:r>
          </w:p>
        </w:tc>
      </w:tr>
    </w:tbl>
    <w:p w:rsidR="00895DD6" w:rsidRDefault="00895DD6">
      <w:pPr>
        <w:jc w:val="left"/>
      </w:pPr>
    </w:p>
    <w:p w:rsidR="00895DD6" w:rsidRDefault="00F31687">
      <w:pPr>
        <w:pStyle w:val="Heading8"/>
        <w:jc w:val="left"/>
      </w:pPr>
      <w:r>
        <w:t>Cilj 1. Razvijen sustav zračnog prometa</w:t>
      </w:r>
    </w:p>
    <w:p w:rsidR="00895DD6" w:rsidRDefault="00F31687">
      <w:pPr>
        <w:pStyle w:val="Heading8"/>
        <w:jc w:val="left"/>
      </w:pPr>
      <w:r>
        <w:t>Opis provedbe cilja programa</w:t>
      </w:r>
    </w:p>
    <w:p w:rsidR="00895DD6" w:rsidRDefault="00F31687">
      <w:r>
        <w:t xml:space="preserve">Cilj programa je podizanje razine sigurnosti i zaštite civilnog zračnog prometa, prometne infrastrukture i prometne usluge. Kroz program u 2025. godini sudjelovalo se u zatvaranju nalaza </w:t>
      </w:r>
      <w:r>
        <w:t xml:space="preserve">koje je Hrvatska agencija za civilno zrakoplovstvo (HACZ) utvrdila aerodromima provođenjem korektivnih mjera, koje se odnose na stanje sigurnosti na aerodromima.  </w:t>
      </w:r>
    </w:p>
    <w:p w:rsidR="00895DD6" w:rsidRDefault="00F31687">
      <w:r>
        <w:t>Utrošenim proračunskim sredstvima s ovog programa, u 2025. godini podržano je 15 mjera (zaht</w:t>
      </w:r>
      <w:r>
        <w:t xml:space="preserve">jeva) aerodroma kojima se utjecalo na poboljšanje aerodromske infrastrukture i povećanje sigurnosti i zaštite aerodroma u Republici Hrvatskoj te je zatvoreno 10 nalaza tj. nesukladnosti koje je HACZ utvrdila aerodromima.   </w:t>
      </w:r>
    </w:p>
    <w:p w:rsidR="00895DD6" w:rsidRDefault="00F31687">
      <w:r>
        <w:t>Sredstvima s programa izvršeno j</w:t>
      </w:r>
      <w:r>
        <w:t>e plaćanje nadoknade troškova zračnim prijevoznicima (Croatia Airlines d.d. i Trade Air d.o.o.) za održavanje redovitih domaćih zračnih linija tijekom 2025. godine te su financirani troškovi za održavanje otvorenosti Zračne luke Osijek d.o.o. za civilni zr</w:t>
      </w:r>
      <w:r>
        <w:t>ačni promet. Proračunskim sredstvima s programa u 2025. godini izvršena je i nadoknada troškova Hrvatskoj kontroli zračne plovidbe d.o.o. za usluge koje je ista pružala letovima koji su izuzeti od plaćanja rutnih i terminalnih naknada (vojni letovi, potrag</w:t>
      </w:r>
      <w:r>
        <w:t xml:space="preserve">a i spašavanje, policijski letovi, humanitarni letovi, određena osposobljavanja i dr.), a koji su nastali u 2024. godini.  </w:t>
      </w:r>
    </w:p>
    <w:p w:rsidR="00895DD6" w:rsidRDefault="00F31687">
      <w:r>
        <w:t xml:space="preserve">U odnosu na ciljane vrijednosti programa u 2025. godini, ostvaren je broj od 10 podržanih (zatvorenih) nalaza utvrđenih aerodromima </w:t>
      </w:r>
      <w:r>
        <w:t>od strane HACZ-a, što je u skladu s ciljanom vrijednosti.</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477"/>
        <w:gridCol w:w="2477"/>
        <w:gridCol w:w="1006"/>
        <w:gridCol w:w="1014"/>
        <w:gridCol w:w="1203"/>
        <w:gridCol w:w="1014"/>
        <w:gridCol w:w="1015"/>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Broj podržanih (zatvorenih) nalaza utvrđenih aerodromima od strane Hrvatske agencije za civilno zrakoplovstvo (HACZ)</w:t>
            </w:r>
          </w:p>
        </w:tc>
        <w:tc>
          <w:tcPr>
            <w:tcW w:w="2551" w:type="dxa"/>
          </w:tcPr>
          <w:p w:rsidR="00895DD6" w:rsidRDefault="00F31687">
            <w:pPr>
              <w:pStyle w:val="CellColumn"/>
              <w:jc w:val="left"/>
            </w:pPr>
            <w:r>
              <w:rPr>
                <w:rFonts w:cs="Times New Roman"/>
              </w:rPr>
              <w:t xml:space="preserve">Povećanjem broja podržanih (zatvorenih) nalaza utvrđenih aerodromima od strane Hrvatske agencije za civilno zrakoplovstvo (HACZ), povećava </w:t>
            </w:r>
            <w:r>
              <w:rPr>
                <w:rFonts w:cs="Times New Roman"/>
              </w:rPr>
              <w:t xml:space="preserve">se razina sigurnosti i zaštite civilnog zračnog prometa, prometne infrastrukture i prometne usluge.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9</w:t>
            </w:r>
          </w:p>
        </w:tc>
        <w:tc>
          <w:tcPr>
            <w:tcW w:w="1020" w:type="dxa"/>
          </w:tcPr>
          <w:p w:rsidR="00895DD6" w:rsidRDefault="00F31687">
            <w:pPr>
              <w:pStyle w:val="CellColumn"/>
              <w:jc w:val="right"/>
            </w:pPr>
            <w:r>
              <w:rPr>
                <w:rFonts w:cs="Times New Roman"/>
              </w:rPr>
              <w:t xml:space="preserve">HACZ  </w:t>
            </w:r>
          </w:p>
          <w:p w:rsidR="00895DD6" w:rsidRDefault="00F31687">
            <w:pPr>
              <w:pStyle w:val="CellColumn"/>
              <w:jc w:val="right"/>
            </w:pPr>
            <w:r>
              <w:rPr>
                <w:rFonts w:cs="Times New Roman"/>
              </w:rPr>
              <w:t>Ministarstvo mora, prometa i infrastrukture</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10</w:t>
            </w:r>
          </w:p>
        </w:tc>
      </w:tr>
    </w:tbl>
    <w:p w:rsidR="00895DD6" w:rsidRDefault="00895DD6">
      <w:pPr>
        <w:jc w:val="left"/>
      </w:pPr>
    </w:p>
    <w:p w:rsidR="00895DD6" w:rsidRDefault="00F31687">
      <w:pPr>
        <w:pStyle w:val="Heading4"/>
      </w:pPr>
      <w:r>
        <w:t>A570001 SURADNJA S MEĐUNARODNIM ORGANIZACIJAMA TE PROVEDBA MJERA RAZVITKA ZRAČNOG PROMETA</w:t>
      </w:r>
    </w:p>
    <w:tbl>
      <w:tblPr>
        <w:tblStyle w:val="StilTablice"/>
        <w:tblW w:w="10206" w:type="dxa"/>
        <w:jc w:val="center"/>
        <w:tblLook w:val="04A0" w:firstRow="1" w:lastRow="0" w:firstColumn="1" w:lastColumn="0" w:noHBand="0" w:noVBand="1"/>
      </w:tblPr>
      <w:tblGrid>
        <w:gridCol w:w="1903"/>
        <w:gridCol w:w="1958"/>
        <w:gridCol w:w="1963"/>
        <w:gridCol w:w="1963"/>
        <w:gridCol w:w="1206"/>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A570001-SURADNJA S MEĐUN</w:t>
            </w:r>
            <w:r>
              <w:rPr>
                <w:rFonts w:cs="Times New Roman"/>
              </w:rPr>
              <w:t>ARODNIM ORGANIZACIJAMA TE PROVEDBA MJERA RAZVITKA ZRAČNOG PROMETA</w:t>
            </w:r>
          </w:p>
        </w:tc>
        <w:tc>
          <w:tcPr>
            <w:tcW w:w="2041" w:type="dxa"/>
          </w:tcPr>
          <w:p w:rsidR="00895DD6" w:rsidRDefault="00F31687">
            <w:pPr>
              <w:pStyle w:val="CellColumn"/>
              <w:jc w:val="right"/>
            </w:pPr>
            <w:r>
              <w:rPr>
                <w:rFonts w:cs="Times New Roman"/>
              </w:rPr>
              <w:t>996.762</w:t>
            </w:r>
          </w:p>
        </w:tc>
        <w:tc>
          <w:tcPr>
            <w:tcW w:w="2041" w:type="dxa"/>
          </w:tcPr>
          <w:p w:rsidR="00895DD6" w:rsidRDefault="00F31687">
            <w:pPr>
              <w:pStyle w:val="CellColumn"/>
              <w:jc w:val="right"/>
            </w:pPr>
            <w:r>
              <w:rPr>
                <w:rFonts w:cs="Times New Roman"/>
              </w:rPr>
              <w:t>1.041.960</w:t>
            </w:r>
          </w:p>
        </w:tc>
        <w:tc>
          <w:tcPr>
            <w:tcW w:w="2041" w:type="dxa"/>
          </w:tcPr>
          <w:p w:rsidR="00895DD6" w:rsidRDefault="00F31687">
            <w:pPr>
              <w:pStyle w:val="CellColumn"/>
              <w:jc w:val="right"/>
            </w:pPr>
            <w:r>
              <w:rPr>
                <w:rFonts w:cs="Times New Roman"/>
              </w:rPr>
              <w:t>1.039.243</w:t>
            </w:r>
          </w:p>
        </w:tc>
        <w:tc>
          <w:tcPr>
            <w:tcW w:w="1224" w:type="dxa"/>
          </w:tcPr>
          <w:p w:rsidR="00895DD6" w:rsidRDefault="00F31687">
            <w:pPr>
              <w:pStyle w:val="CellColumn"/>
              <w:jc w:val="right"/>
            </w:pPr>
            <w:r>
              <w:rPr>
                <w:rFonts w:cs="Times New Roman"/>
              </w:rPr>
              <w:t>99,7</w:t>
            </w:r>
          </w:p>
        </w:tc>
        <w:tc>
          <w:tcPr>
            <w:tcW w:w="1224" w:type="dxa"/>
          </w:tcPr>
          <w:p w:rsidR="00895DD6" w:rsidRDefault="00F31687">
            <w:pPr>
              <w:pStyle w:val="CellColumn"/>
              <w:jc w:val="right"/>
            </w:pPr>
            <w:r>
              <w:rPr>
                <w:rFonts w:cs="Times New Roman"/>
              </w:rPr>
              <w:t>104,3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zračnom prometu, članak 37, 58, 95, 114   </w:t>
      </w:r>
    </w:p>
    <w:p w:rsidR="00895DD6" w:rsidRDefault="00F31687">
      <w:r>
        <w:t xml:space="preserve">- Odluka o osnivanju Nacionalnog povjerenstva za upravljanje zračnim prostorom  </w:t>
      </w:r>
    </w:p>
    <w:p w:rsidR="00895DD6" w:rsidRDefault="00F31687">
      <w:r>
        <w:t xml:space="preserve">- Odluka o osnivanju Nacionalnog povjerenstva za olakšice   </w:t>
      </w:r>
    </w:p>
    <w:p w:rsidR="00895DD6" w:rsidRDefault="00F31687">
      <w:r>
        <w:t xml:space="preserve">- Odluka o osnivanju Povjerenstva za upravljanje sigurnošću u zračnom prometu   </w:t>
      </w:r>
    </w:p>
    <w:p w:rsidR="00895DD6" w:rsidRDefault="00F31687">
      <w:r>
        <w:t xml:space="preserve">- Odluka o osnivanju Nacionalnog </w:t>
      </w:r>
      <w:r>
        <w:t xml:space="preserve">povjerenstva za zaštitu civilnog zračnog prometa   </w:t>
      </w:r>
    </w:p>
    <w:p w:rsidR="00895DD6" w:rsidRDefault="00F31687">
      <w:r>
        <w:t xml:space="preserve">- Odluka o dodjeli sredstava za unaprjeđenje zračne prometne povezanosti Grada Mostara  </w:t>
      </w:r>
    </w:p>
    <w:p w:rsidR="00895DD6" w:rsidRDefault="00F31687">
      <w:r>
        <w:t>- Čikaška konvencija (Convention on International Civil Aviation), potpisana u Chicagu 1944. godine te Protokol o v</w:t>
      </w:r>
      <w:r>
        <w:t xml:space="preserve">ažnim dopunama te konvencije potpisan u Montrealu iz 1980. godine - članarina Međunarodnoj organizaciji civilnog zrakoplovstva  ICAO (International Civil Aviation Organization)   </w:t>
      </w:r>
    </w:p>
    <w:p w:rsidR="00895DD6" w:rsidRDefault="00F31687">
      <w:r>
        <w:t>- Rezolucija o administrativnim i financijskim odnosima između ICAO i ECAC u</w:t>
      </w:r>
      <w:r>
        <w:t xml:space="preserve">svojena na 14. ECAC trijenalu kao i članak 14(2) Statuta ECAC-a - članarina Europskoj konferenciji civilnog zrakoplovstva ECAC (European Civil Aviation Conference)   </w:t>
      </w:r>
    </w:p>
    <w:p w:rsidR="00895DD6" w:rsidRDefault="00F31687">
      <w:r>
        <w:t>- Memorandum o sporazumijevanju od 22. ožujka 2016. potpisan u Utrechtu kojim je Republik</w:t>
      </w:r>
      <w:r>
        <w:t>a Hrvatska postala osma članica ABIS grupe</w:t>
      </w:r>
    </w:p>
    <w:p w:rsidR="00895DD6" w:rsidRDefault="00F31687">
      <w:pPr>
        <w:pStyle w:val="Heading8"/>
        <w:jc w:val="left"/>
      </w:pPr>
      <w:r>
        <w:t>Opis aktivnosti</w:t>
      </w:r>
    </w:p>
    <w:p w:rsidR="00895DD6" w:rsidRDefault="00F31687">
      <w:r>
        <w:t>Proračunskim sredstvima s aktivnosti u 2025. godini izvršeno je plaćanje obveza za članarine u međunarodnim organizacijama civilnog zrakoplovstva za 2025. godinu (ICAO, ECAC I ABIS GROUP). Godišnja</w:t>
      </w:r>
      <w:r>
        <w:t xml:space="preserve"> ICAO članarina isplaćena je u iznosu od 43.427 CAD i 22.372 USD, godišnja ECAC članarina isplaćena je u iznosu od 34.884 EUR te godišnja ABIS GROUP članarina u iznosu od 4.602 CAD (sveukupno izvršeno plaćanje za članarine iznosi 88.579 EUR).  </w:t>
      </w:r>
    </w:p>
    <w:p w:rsidR="00895DD6" w:rsidRDefault="00F31687">
      <w:r>
        <w:lastRenderedPageBreak/>
        <w:t xml:space="preserve">Sredstvima </w:t>
      </w:r>
      <w:r>
        <w:t xml:space="preserve">s ove aktivnosti plaćaju se i naknade članovima za rad u 4 (četiri) povjerenstva, koja su osnovana odlukama Vlade Republike Hrvatske, a na temelju odredaba Zakona o zračnom prometu te su u 2025. godini navedene naknade isplaćene u iznosu od 664 EUR.  </w:t>
      </w:r>
    </w:p>
    <w:p w:rsidR="00895DD6" w:rsidRDefault="00F31687">
      <w:r>
        <w:t>Sukl</w:t>
      </w:r>
      <w:r>
        <w:t xml:space="preserve">adno Odluci o dodjeli sredstava za unaprjeđenje zračne prometne povezanosti Grada Mostara, koju je Vlada Republike Hrvatske donijela 24. travnja 2025. godine i Ugovora broj: 10/SZP/2025 o sudjelovanju u financiranju programa na unapređenju zračne prometne </w:t>
      </w:r>
      <w:r>
        <w:t>povezanosti Grada Mostara od 26. svibnja 2025. godine, sklopljenog između Ministarstva mora, prometa i infrastrukture i Grada Mostara, za unaprjeđenje zračne prometne povezanosti grada Mostara sa svim regijama Republike Hrvatske kao i ključnim prometnim čv</w:t>
      </w:r>
      <w:r>
        <w:t xml:space="preserve">orištima Europske unije, odnosno za postojeće kao i razvoj novih programa zračne povezanosti Grada Mostara, koji su se provodili u 2025. godini, isplaćena su sredstva Gradu Mostaru u ukupnom iznosu od 950.000 EUR. </w:t>
      </w:r>
    </w:p>
    <w:p w:rsidR="00895DD6" w:rsidRDefault="00F31687">
      <w:r>
        <w:t>Zrakoplovne vlasti Republike Hrvatske u 2</w:t>
      </w:r>
      <w:r>
        <w:t>025. godini sudjelovale su u radu upravljačkih i radnih tijela (ICAO – Međunarodna organizacija za civilno zrakoplovstvo, ECAC – Europska konferencija za civilno zrakoplovstvo, EASA – Europska agencija za sigurnost zračnog prometa, EUROCONTROL – Europska a</w:t>
      </w:r>
      <w:r>
        <w:t xml:space="preserve">gencija za sigurnost zračne plovidbe) kao i stručnih odbora kao što je npr. Single European Sky Committee i radnih skupina Vijeća Europske unije, te na taj način pratile razvoj ključnih svjetskih i europskih politika i strategija kao i razvoj zakonodavnog </w:t>
      </w:r>
      <w:r>
        <w:t xml:space="preserve">okvira u području zračnog prometa.   </w:t>
      </w:r>
    </w:p>
    <w:p w:rsidR="00895DD6" w:rsidRDefault="00F31687">
      <w:r>
        <w:t>Planirani ciljevi ove aktivnosti u 2025. godini su postignuti, aktivnost se provodila planiranom dinamikom i nije bilo problema u njenom izvršavanju.</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sastanaka upravljačkih i radnih tijela međunarodnih organizacija nadležnih za civilno zrakoplovstvo (ICAO, ECAC, EASA, EUROCONTROL) te stručnih odbora na kojima</w:t>
            </w:r>
            <w:r>
              <w:rPr>
                <w:rFonts w:cs="Times New Roman"/>
              </w:rPr>
              <w:t xml:space="preserve"> su sudjelovali predstavnici MMPI</w:t>
            </w:r>
          </w:p>
        </w:tc>
        <w:tc>
          <w:tcPr>
            <w:tcW w:w="2551" w:type="dxa"/>
          </w:tcPr>
          <w:p w:rsidR="00895DD6" w:rsidRDefault="00F31687">
            <w:pPr>
              <w:pStyle w:val="CellColumn"/>
              <w:jc w:val="left"/>
            </w:pPr>
            <w:r>
              <w:rPr>
                <w:rFonts w:cs="Times New Roman"/>
              </w:rPr>
              <w:t>Povećanjem broja sastanaka upravljačkih i radnih tijela međunarodnih organizacija nadležnih za civilno zrakoplovstvo (ICAO, ECAC, EASA, EUROCONTROL) te stručnih odbora na kojima  su sudjelovali predstavnici MMPI, postiže s</w:t>
            </w:r>
            <w:r>
              <w:rPr>
                <w:rFonts w:cs="Times New Roman"/>
              </w:rPr>
              <w:t>e unapređenje praćenja  ključnih svjetskih i europskih projekata i strategija, razvoj zakonodavnog okvira u području zračnog prometa kao i implementacija međunarodnih i pravnih obveza sukladno utvrđenim rokovima Napomena: Radi se o godišnjoj vrijednosti</w:t>
            </w:r>
          </w:p>
        </w:tc>
        <w:tc>
          <w:tcPr>
            <w:tcW w:w="1020" w:type="dxa"/>
          </w:tcPr>
          <w:p w:rsidR="00895DD6" w:rsidRDefault="00F31687">
            <w:pPr>
              <w:pStyle w:val="CellColumn"/>
              <w:jc w:val="right"/>
            </w:pPr>
            <w:r>
              <w:rPr>
                <w:rFonts w:cs="Times New Roman"/>
              </w:rPr>
              <w:t>Br</w:t>
            </w:r>
            <w:r>
              <w:rPr>
                <w:rFonts w:cs="Times New Roman"/>
              </w:rPr>
              <w:t>oj</w:t>
            </w:r>
          </w:p>
        </w:tc>
        <w:tc>
          <w:tcPr>
            <w:tcW w:w="1020" w:type="dxa"/>
          </w:tcPr>
          <w:p w:rsidR="00895DD6" w:rsidRDefault="00F31687">
            <w:pPr>
              <w:pStyle w:val="CellColumn"/>
              <w:jc w:val="right"/>
            </w:pPr>
            <w:r>
              <w:rPr>
                <w:rFonts w:cs="Times New Roman"/>
              </w:rPr>
              <w:t>6</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7</w:t>
            </w:r>
          </w:p>
        </w:tc>
      </w:tr>
    </w:tbl>
    <w:p w:rsidR="00895DD6" w:rsidRDefault="00895DD6">
      <w:pPr>
        <w:jc w:val="left"/>
      </w:pPr>
    </w:p>
    <w:p w:rsidR="00895DD6" w:rsidRDefault="00F31687">
      <w:pPr>
        <w:pStyle w:val="Heading4"/>
      </w:pPr>
      <w:r>
        <w:t>A570249 GORSKE SLUŽBE SPAŠAVANJA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A570249-GORSKE SLUŽBE SPAŠAVANJA</w:t>
            </w:r>
          </w:p>
        </w:tc>
        <w:tc>
          <w:tcPr>
            <w:tcW w:w="2041" w:type="dxa"/>
          </w:tcPr>
          <w:p w:rsidR="00895DD6" w:rsidRDefault="00F31687">
            <w:pPr>
              <w:pStyle w:val="CellColumn"/>
              <w:jc w:val="right"/>
            </w:pPr>
            <w:r>
              <w:rPr>
                <w:rFonts w:cs="Times New Roman"/>
              </w:rPr>
              <w:t>83.247</w:t>
            </w:r>
          </w:p>
        </w:tc>
        <w:tc>
          <w:tcPr>
            <w:tcW w:w="2041" w:type="dxa"/>
          </w:tcPr>
          <w:p w:rsidR="00895DD6" w:rsidRDefault="00F31687">
            <w:pPr>
              <w:pStyle w:val="CellColumn"/>
              <w:jc w:val="right"/>
            </w:pPr>
            <w:r>
              <w:rPr>
                <w:rFonts w:cs="Times New Roman"/>
              </w:rPr>
              <w:t>85.000</w:t>
            </w:r>
          </w:p>
        </w:tc>
        <w:tc>
          <w:tcPr>
            <w:tcW w:w="2041" w:type="dxa"/>
          </w:tcPr>
          <w:p w:rsidR="00895DD6" w:rsidRDefault="00F31687">
            <w:pPr>
              <w:pStyle w:val="CellColumn"/>
              <w:jc w:val="right"/>
            </w:pPr>
            <w:r>
              <w:rPr>
                <w:rFonts w:cs="Times New Roman"/>
              </w:rPr>
              <w:t>84.867</w:t>
            </w:r>
          </w:p>
        </w:tc>
        <w:tc>
          <w:tcPr>
            <w:tcW w:w="1224" w:type="dxa"/>
          </w:tcPr>
          <w:p w:rsidR="00895DD6" w:rsidRDefault="00F31687">
            <w:pPr>
              <w:pStyle w:val="CellColumn"/>
              <w:jc w:val="right"/>
            </w:pPr>
            <w:r>
              <w:rPr>
                <w:rFonts w:cs="Times New Roman"/>
              </w:rPr>
              <w:t>99,8</w:t>
            </w:r>
          </w:p>
        </w:tc>
        <w:tc>
          <w:tcPr>
            <w:tcW w:w="1224" w:type="dxa"/>
          </w:tcPr>
          <w:p w:rsidR="00895DD6" w:rsidRDefault="00F31687">
            <w:pPr>
              <w:pStyle w:val="CellColumn"/>
              <w:jc w:val="right"/>
            </w:pPr>
            <w:r>
              <w:rPr>
                <w:rFonts w:cs="Times New Roman"/>
              </w:rPr>
              <w:t>101,9</w:t>
            </w:r>
          </w:p>
        </w:tc>
      </w:tr>
    </w:tbl>
    <w:p w:rsidR="00895DD6" w:rsidRDefault="00895DD6">
      <w:pPr>
        <w:jc w:val="left"/>
      </w:pPr>
    </w:p>
    <w:p w:rsidR="00895DD6" w:rsidRDefault="00F31687">
      <w:pPr>
        <w:pStyle w:val="Heading8"/>
        <w:jc w:val="left"/>
      </w:pPr>
      <w:r>
        <w:lastRenderedPageBreak/>
        <w:t>Zakonske i druge pravne osnove</w:t>
      </w:r>
    </w:p>
    <w:p w:rsidR="00895DD6" w:rsidRDefault="00F31687">
      <w:r>
        <w:t>Sporazum o dugoročnoj suradnji u provedbi programa aktivnosti traganja i spašavanja na nepristupačnim prostorima izvan gradova i javnih prometnica od 14. listopada 2003. godine, zaključen između Ministarstva i Hrvatske gors</w:t>
      </w:r>
      <w:r>
        <w:t>ke službe spašavanja (HGSS), slijedom kojega se sklapaju godišnji ugovori.</w:t>
      </w:r>
    </w:p>
    <w:p w:rsidR="00895DD6" w:rsidRDefault="00F31687">
      <w:pPr>
        <w:pStyle w:val="Heading8"/>
        <w:jc w:val="left"/>
      </w:pPr>
      <w:r>
        <w:t>Opis aktivnosti</w:t>
      </w:r>
    </w:p>
    <w:p w:rsidR="00895DD6" w:rsidRDefault="00F31687">
      <w:r>
        <w:t>Na temelju Sporazuma o dugoročnoj suradnji o provedbi programa aktivnosti traganja i spašavanja na nepristupačnim prostorima izvan gradova i javnih prometnica i Ugov</w:t>
      </w:r>
      <w:r>
        <w:t>ora br. 09/SZP/2025, koji je sklopljen između Ministarstva i Hrvatske gorske službe spašavanja (HGSS), proračunskim sredstvima s ove aktivnosti u 2025. godini sufinancirano je opremanje službe traganja i spašavanja HGSS-a u iznosu od 49.952 EUR te održavan</w:t>
      </w:r>
      <w:r>
        <w:t xml:space="preserve">je hladnog pogona i osiguranje pripadnika HGSS-a u iznosu od 34.915 EUR, što ukupno iznosi 84.867 EUR.  </w:t>
      </w:r>
    </w:p>
    <w:p w:rsidR="00895DD6" w:rsidRDefault="00F31687">
      <w:r>
        <w:t>Navedenim Sporazumom HGSS se obvezuje da će na poziv Ministarstva intervenirati u svim slučajevima kada dođe do prometne nesreće ili sumnje da je do ne</w:t>
      </w:r>
      <w:r>
        <w:t>sreće došlo na nepristupačnim terenima i u situacijama kada treba primijeniti posebno znanje, vještinu i specijalnu opremu za spašavanje, a Ministarstvo će za uzvrat HGSS-u sufinancirati određeni broj aktivnosti planiranih u godišnjem programu rada HGSS-a,</w:t>
      </w:r>
      <w:r>
        <w:t xml:space="preserve"> a koje se odnose na opremanje službe traganja i spašavanja i na provođenje potrebnih radnji za održavanja hladnog pogona i razine sposobnosti   pripadnika HGSS-a.  </w:t>
      </w:r>
    </w:p>
    <w:p w:rsidR="00895DD6" w:rsidRDefault="00F31687">
      <w:r>
        <w:t>Planirani ciljevi ove aktivnosti u 2025. godini su postignuti, aktivnost se provodila sukl</w:t>
      </w:r>
      <w:r>
        <w:t>adno očekivanju i nisu uočeni problemi u izvršavanju iste.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podržanih aktivnosti HGSS-a iz cjelovitog godišnjeg programa aktivnosti u provedbi priprema za zadaće traganja i spašavanja na nepristupačnim prostorima</w:t>
            </w:r>
          </w:p>
        </w:tc>
        <w:tc>
          <w:tcPr>
            <w:tcW w:w="2551" w:type="dxa"/>
          </w:tcPr>
          <w:p w:rsidR="00895DD6" w:rsidRDefault="00F31687">
            <w:pPr>
              <w:pStyle w:val="CellColumn"/>
              <w:jc w:val="left"/>
            </w:pPr>
            <w:r>
              <w:rPr>
                <w:rFonts w:cs="Times New Roman"/>
              </w:rPr>
              <w:t>Očuvanjem broja podržanih aktivnosti HGSS-a  iz cjelovitog godišnjeg programa aktivnosti u provedb</w:t>
            </w:r>
            <w:r>
              <w:rPr>
                <w:rFonts w:cs="Times New Roman"/>
              </w:rPr>
              <w:t xml:space="preserve">i priprema za zadaće traganja i spašavanja na nepristupačnim prostorima, stvaraju se uvjeti za kvalitetno traganje i spašavanje u  prometu na nepristupačnim prostorima unutar RH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w:t>
            </w:r>
          </w:p>
        </w:tc>
        <w:tc>
          <w:tcPr>
            <w:tcW w:w="1020" w:type="dxa"/>
          </w:tcPr>
          <w:p w:rsidR="00895DD6" w:rsidRDefault="00F31687">
            <w:pPr>
              <w:pStyle w:val="CellColumn"/>
              <w:jc w:val="right"/>
            </w:pPr>
            <w:r>
              <w:rPr>
                <w:rFonts w:cs="Times New Roman"/>
              </w:rPr>
              <w:t>3</w:t>
            </w:r>
          </w:p>
        </w:tc>
      </w:tr>
    </w:tbl>
    <w:p w:rsidR="00895DD6" w:rsidRDefault="00895DD6">
      <w:pPr>
        <w:jc w:val="left"/>
      </w:pPr>
    </w:p>
    <w:p w:rsidR="00895DD6" w:rsidRDefault="00F31687">
      <w:pPr>
        <w:pStyle w:val="Heading4"/>
      </w:pPr>
      <w:r>
        <w:t>A570333 OSIGURANJE SIGURNOSNO PROMETNIH STANDARDA U ZRAČNIM LUKAMA RH</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A570333-OSIGURANJE SIGURNOSNO PROMETNIH STAN</w:t>
            </w:r>
            <w:r>
              <w:rPr>
                <w:rFonts w:cs="Times New Roman"/>
              </w:rPr>
              <w:t>DARDA U ZRAČNIM LUKAMA RH</w:t>
            </w:r>
          </w:p>
        </w:tc>
        <w:tc>
          <w:tcPr>
            <w:tcW w:w="2041" w:type="dxa"/>
          </w:tcPr>
          <w:p w:rsidR="00895DD6" w:rsidRDefault="00F31687">
            <w:pPr>
              <w:pStyle w:val="CellColumn"/>
              <w:jc w:val="right"/>
            </w:pPr>
            <w:r>
              <w:rPr>
                <w:rFonts w:cs="Times New Roman"/>
              </w:rPr>
              <w:t>5.813.583</w:t>
            </w:r>
          </w:p>
        </w:tc>
        <w:tc>
          <w:tcPr>
            <w:tcW w:w="2041" w:type="dxa"/>
          </w:tcPr>
          <w:p w:rsidR="00895DD6" w:rsidRDefault="00F31687">
            <w:pPr>
              <w:pStyle w:val="CellColumn"/>
              <w:jc w:val="right"/>
            </w:pPr>
            <w:r>
              <w:rPr>
                <w:rFonts w:cs="Times New Roman"/>
              </w:rPr>
              <w:t>48.724.650</w:t>
            </w:r>
          </w:p>
        </w:tc>
        <w:tc>
          <w:tcPr>
            <w:tcW w:w="2041" w:type="dxa"/>
          </w:tcPr>
          <w:p w:rsidR="00895DD6" w:rsidRDefault="00F31687">
            <w:pPr>
              <w:pStyle w:val="CellColumn"/>
              <w:jc w:val="right"/>
            </w:pPr>
            <w:r>
              <w:rPr>
                <w:rFonts w:cs="Times New Roman"/>
              </w:rPr>
              <w:t>48.671.355</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837,2</w:t>
            </w:r>
          </w:p>
        </w:tc>
      </w:tr>
    </w:tbl>
    <w:p w:rsidR="00895DD6" w:rsidRDefault="00895DD6">
      <w:pPr>
        <w:jc w:val="left"/>
      </w:pPr>
    </w:p>
    <w:p w:rsidR="00895DD6" w:rsidRDefault="00F31687">
      <w:pPr>
        <w:pStyle w:val="Heading8"/>
        <w:jc w:val="left"/>
      </w:pPr>
      <w:r>
        <w:lastRenderedPageBreak/>
        <w:t>Zakonske i druge pravne osnove</w:t>
      </w:r>
    </w:p>
    <w:p w:rsidR="00895DD6" w:rsidRDefault="00F31687">
      <w:r>
        <w:t xml:space="preserve">- Zakon o zračnom prometu, članak 41a    </w:t>
      </w:r>
    </w:p>
    <w:p w:rsidR="00895DD6" w:rsidRDefault="00F31687">
      <w:r>
        <w:t xml:space="preserve">- Zakon o zračnim lukama   </w:t>
      </w:r>
    </w:p>
    <w:p w:rsidR="00895DD6" w:rsidRDefault="00F31687">
      <w:r>
        <w:t xml:space="preserve">- Nacionalni program sigurnosti u zračnom prometu    </w:t>
      </w:r>
    </w:p>
    <w:p w:rsidR="00895DD6" w:rsidRDefault="00F31687">
      <w:r>
        <w:t xml:space="preserve">- Nacionalni program zaštite civilnog zračnog prometa, koji je Vlada Republike Hrvatske donijela na sjednici održanoj 24. svibnja 2018.   </w:t>
      </w:r>
    </w:p>
    <w:p w:rsidR="00895DD6" w:rsidRDefault="00F31687">
      <w:r>
        <w:t xml:space="preserve"> - Odluka o obvezi otvorenosti Zračne luke Osijek za javni zračni promet u razdoblju od 2024. – 2028. godine od 29. s</w:t>
      </w:r>
      <w:r>
        <w:t xml:space="preserve">tudenoga 2023. godine </w:t>
      </w:r>
    </w:p>
    <w:p w:rsidR="00895DD6" w:rsidRDefault="00F31687">
      <w:r>
        <w:t xml:space="preserve">- Dodatak 14 Čikaškoj konvenciji (standardi sigurnosti na aerodromima) </w:t>
      </w:r>
    </w:p>
    <w:p w:rsidR="00895DD6" w:rsidRDefault="00F31687">
      <w:r>
        <w:t xml:space="preserve">-  Odluka o odobrenju povećanja temeljnog kapitala društva Croatia Airlines d.d. koju je Vlada Republike Hrvatske donijela 12. prosinca 2025. godine </w:t>
      </w:r>
    </w:p>
    <w:p w:rsidR="00895DD6" w:rsidRDefault="00F31687">
      <w:r>
        <w:t xml:space="preserve">- Ugovor o </w:t>
      </w:r>
      <w:r>
        <w:t>ulaganju u dioničko društvo Croatia Airlines d.d. od 29. prosinca 2025. godine</w:t>
      </w:r>
    </w:p>
    <w:p w:rsidR="00895DD6" w:rsidRDefault="00F31687">
      <w:pPr>
        <w:pStyle w:val="Heading8"/>
        <w:jc w:val="left"/>
      </w:pPr>
      <w:r>
        <w:t>Opis aktivnosti</w:t>
      </w:r>
    </w:p>
    <w:p w:rsidR="00895DD6" w:rsidRDefault="00F31687">
      <w:r>
        <w:t>Sukladno obvezama koje proizlaze iz članstva Republike Hrvatske u međunarodnim organizacijama za civilni zračni promet (ICAO, ECAC, EUROCONTROL i dr.), Republika</w:t>
      </w:r>
      <w:r>
        <w:t xml:space="preserve"> Hrvatska je dužna ispuniti zahtjeve za povećanim zaštitnim i sigurnosnim mjerama na svim aerodromima u zemlji. Mjere obuhvaćaju osiguranje potrebne zaštitne i sigurnosne opreme kao i izvođenje radova na aerodromskoj infrastrukturi koji su od važnosti za s</w:t>
      </w:r>
      <w:r>
        <w:t>iguran prihvat zrakoplova i putnika na aerodromima. Infrastrukturne projekte, kao i mjere sigurnosti i zaštite na aerodromima, u najvećoj mjeri financiraju sami aerodromi uz sufinanciranje države proračunskim sredstvima koja se planiraju na ovoj aktivnosti</w:t>
      </w:r>
      <w:r>
        <w:t xml:space="preserve">.  </w:t>
      </w:r>
    </w:p>
    <w:p w:rsidR="00895DD6" w:rsidRDefault="00F31687">
      <w:r>
        <w:t>Proračunskim sredstvima s ove aktivnosti (Kapitalne pomoći trgovačkim društvima u javnom sektoru) u 2025. godini podržane su mjere na aerodromima, kojima se utjecalo na poboljšanje aerodromske infrastrukture i povećanje sigurnosti i zaštite aerodroma u</w:t>
      </w:r>
      <w:r>
        <w:t xml:space="preserve"> Republici Hrvatskoj u sveukupnom iznosu od 3.987.910 EUR.  </w:t>
      </w:r>
    </w:p>
    <w:p w:rsidR="00895DD6" w:rsidRDefault="00F31687">
      <w:r>
        <w:t xml:space="preserve">U 2025. godini podržane su sljedeće mjere na aerodromima u Republici Hrvatskoj: </w:t>
      </w:r>
    </w:p>
    <w:p w:rsidR="00895DD6" w:rsidRDefault="00F31687">
      <w:r>
        <w:t xml:space="preserve">- Zračnoj luci Osijek sufinancirana je gradnja putničkog terminala u ukupnom iznosu od 2.000.000 EUR. </w:t>
      </w:r>
    </w:p>
    <w:p w:rsidR="00895DD6" w:rsidRDefault="00F31687">
      <w:r>
        <w:t>- Zračnoj luci Zadar sufinancirana je nabava električnog traktora sa rudom za izguravanje zrakoplova, nabava svjetala praga i kraja sustava rasvjete operativnih površina i nabava zračnog startera (jet starter) za pokretanje zrakoplova na stajanci u ukupnom</w:t>
      </w:r>
      <w:r>
        <w:t xml:space="preserve"> iznosu od 607.400 EUR. </w:t>
      </w:r>
    </w:p>
    <w:p w:rsidR="00895DD6" w:rsidRDefault="00F31687">
      <w:r>
        <w:t xml:space="preserve">- Zračnoj luci Pula sufinancirana je nabava traktora i opreme za košnju, nabava rendgena za pregled tereta, nabava reflektora za rasvjetu stajanke, vozila za pregled operativne površine, perimetra i zaštitu od ptica, nabava vozila </w:t>
      </w:r>
      <w:r>
        <w:t xml:space="preserve">„FOLLOW ME“ i sanacija horizontalne signalizacije u ukupnom iznosu od 490.000 EUR. </w:t>
      </w:r>
    </w:p>
    <w:p w:rsidR="00895DD6" w:rsidRDefault="00F31687">
      <w:r>
        <w:t>- Zračnoj luci Rijeka sufinancirani su radovi na rekonstrukciji površine i spojeva dijela operativnih površina, rekonstrukciju sustava svjetlosne organizacije – faza 1, pro</w:t>
      </w:r>
      <w:r>
        <w:t>jektiranje glavni projekt proširenja stajanke za zrakoplove, ugradnja novih vrata s kontrolom pristupa (međunarodni dolasci), rekonstrukcija kaponira na pragu 14., niveliranje RESA-e - faza 7., rekonstrukcija dijela ograde i ophodarskog puta – faza 2., nab</w:t>
      </w:r>
      <w:r>
        <w:t xml:space="preserve">ava modularnog montažnog objekta i radovi za natkrivanje prostora ispred međunarodnih dolazaka u ukupnom iznosu od 740.510 EUR.  </w:t>
      </w:r>
    </w:p>
    <w:p w:rsidR="00895DD6" w:rsidRDefault="00F31687">
      <w:r>
        <w:t xml:space="preserve">- Zračnom pristaništu Mali Lošinj sufinancirana je nabava rabljenog vatrogasnog kamiona u ukupnom iznosu od 150.000 EUR. </w:t>
      </w:r>
    </w:p>
    <w:p w:rsidR="00895DD6" w:rsidRDefault="00F31687">
      <w:r>
        <w:t>S ov</w:t>
      </w:r>
      <w:r>
        <w:t>e aktivnosti (Kapitalne pomoći trgovačkim društvima izvan javnog sektora) u 2025. godini podržane su mjere, kojima se utjecalo na poboljšanje aerodromske infrastrukture i povećanje sigurnosti i zaštite na Aerodromu Brač gdje je sufinancirana  nabava spasil</w:t>
      </w:r>
      <w:r>
        <w:t xml:space="preserve">ačko – vatrogasne opreme i sredstava, nabava i ugradnja svjetlosne signalizacije te bojanje oznaka na operativnim površinama u ukupnom iznosu od 191.600 EUR. </w:t>
      </w:r>
    </w:p>
    <w:p w:rsidR="00895DD6" w:rsidRDefault="00F31687">
      <w:r>
        <w:t>Sredstvima s ove aktivnosti u 2025. godini (Subvencije trgovačkim društvima u javnom sektoru), fi</w:t>
      </w:r>
      <w:r>
        <w:t>nancirane su i mjere očuvanja otvorenosti Zračne luke Osijek d.o.o., tj. financirani su troškovi obavljanja javne usluge (Services of General Economic Interest - SGEI), na temelju Odluke o obvezi otvorenosti Zračne luke Osijek za javni zračni promet u razd</w:t>
      </w:r>
      <w:r>
        <w:t>oblju od 2024. – 2028. godine, koja je donesena 29. studenoga 2023. godine te je Zračnoj luci Osijek za tu namjenu isplaćen iznos od ukupno 1.440.000 EUR. Zračnoj luci Srce Dalmacije, na temelju sklopljenog Ugovora broj 11/SZP/2025 od 4. srpnja 2025. godin</w:t>
      </w:r>
      <w:r>
        <w:t xml:space="preserve">e, plaćeni su troškovi osnovne djelatnosti u iznosu od 50.196 EUR.  </w:t>
      </w:r>
    </w:p>
    <w:p w:rsidR="00895DD6" w:rsidRDefault="00F31687">
      <w:r>
        <w:lastRenderedPageBreak/>
        <w:t>U 2025. godini u okviru ove aktivnosti (Dionice i udjeli u glavnici trgovačkih društava u javnom sektoru),  na temelju Odluke o odobrenju povećanja temeljnog kapitala društva Croatia Airl</w:t>
      </w:r>
      <w:r>
        <w:t>ines d.d. od 12. prosinca 2025. godine i Ugovora o ulaganju u dioničko društvo Croatia Airlines d.d. od 29. prosinca 2025. godine, povedena  je dokapitalizacija društva Croatia Airlines d.d. i to pretvaranjem potraživanja po postojećim zajmovima u temeljni</w:t>
      </w:r>
      <w:r>
        <w:t xml:space="preserve"> kapital Društva u iznosu od 43.001.650 EUR. </w:t>
      </w:r>
    </w:p>
    <w:p w:rsidR="00895DD6" w:rsidRDefault="00F31687">
      <w:r>
        <w:t>Zadani ciljevi ove aktivnosti su postignuti jer je proračunskim sredstvima u 2025. godini podržano 15 mjera (zahtjeva) aerodroma, što je za 6 zahtjeva više od ciljane vrijednosti. Podržavanje većeg broja zahtje</w:t>
      </w:r>
      <w:r>
        <w:t>va ostvareno je jer su aerodromi aplicirali za sufinanciranje mjera koje su bile manje financijske vrijednosti od prvotno procijenjene.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w:t>
            </w:r>
            <w:r>
              <w:rPr>
                <w:rFonts w:cs="Times New Roman"/>
              </w:rPr>
              <w:t>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podržanih mjera (zahtjeva) aerodroma u svrhu sigurnosti i zaštite aerodroma u RH</w:t>
            </w:r>
          </w:p>
        </w:tc>
        <w:tc>
          <w:tcPr>
            <w:tcW w:w="2551" w:type="dxa"/>
          </w:tcPr>
          <w:p w:rsidR="00895DD6" w:rsidRDefault="00F31687">
            <w:pPr>
              <w:pStyle w:val="CellColumn"/>
              <w:jc w:val="left"/>
            </w:pPr>
            <w:r>
              <w:rPr>
                <w:rFonts w:cs="Times New Roman"/>
              </w:rPr>
              <w:t xml:space="preserve">Povećanjem broja podržanih mjera (zahtjeva) aerodroma postiže se povećanje sigurnosti i zaštite zračnog prometa u RH)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8</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9</w:t>
            </w:r>
          </w:p>
        </w:tc>
        <w:tc>
          <w:tcPr>
            <w:tcW w:w="1020" w:type="dxa"/>
          </w:tcPr>
          <w:p w:rsidR="00895DD6" w:rsidRDefault="00F31687">
            <w:pPr>
              <w:pStyle w:val="CellColumn"/>
              <w:jc w:val="right"/>
            </w:pPr>
            <w:r>
              <w:rPr>
                <w:rFonts w:cs="Times New Roman"/>
              </w:rPr>
              <w:t>15</w:t>
            </w:r>
          </w:p>
        </w:tc>
      </w:tr>
    </w:tbl>
    <w:p w:rsidR="00895DD6" w:rsidRDefault="00895DD6">
      <w:pPr>
        <w:jc w:val="left"/>
      </w:pPr>
    </w:p>
    <w:p w:rsidR="00895DD6" w:rsidRDefault="00F31687">
      <w:pPr>
        <w:pStyle w:val="Heading4"/>
      </w:pPr>
      <w:r>
        <w:t>A587050 OČUVANJE PROMETNE POVEZANOSTI REGIJA (DOMAĆI LINIJSKI ZRAČNI PRIJEVOZ)</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A587050-OČUVANJE PROMETNE POVEZANOSTI REGIJA (DOMAĆI LINIJSKI ZRAČNI PRIJEVOZ)</w:t>
            </w:r>
          </w:p>
        </w:tc>
        <w:tc>
          <w:tcPr>
            <w:tcW w:w="2041" w:type="dxa"/>
          </w:tcPr>
          <w:p w:rsidR="00895DD6" w:rsidRDefault="00F31687">
            <w:pPr>
              <w:pStyle w:val="CellColumn"/>
              <w:jc w:val="right"/>
            </w:pPr>
            <w:r>
              <w:rPr>
                <w:rFonts w:cs="Times New Roman"/>
              </w:rPr>
              <w:t>19.137.376</w:t>
            </w:r>
          </w:p>
        </w:tc>
        <w:tc>
          <w:tcPr>
            <w:tcW w:w="2041" w:type="dxa"/>
          </w:tcPr>
          <w:p w:rsidR="00895DD6" w:rsidRDefault="00F31687">
            <w:pPr>
              <w:pStyle w:val="CellColumn"/>
              <w:jc w:val="right"/>
            </w:pPr>
            <w:r>
              <w:rPr>
                <w:rFonts w:cs="Times New Roman"/>
              </w:rPr>
              <w:t>29.371.360</w:t>
            </w:r>
          </w:p>
        </w:tc>
        <w:tc>
          <w:tcPr>
            <w:tcW w:w="2041" w:type="dxa"/>
          </w:tcPr>
          <w:p w:rsidR="00895DD6" w:rsidRDefault="00F31687">
            <w:pPr>
              <w:pStyle w:val="CellColumn"/>
              <w:jc w:val="right"/>
            </w:pPr>
            <w:r>
              <w:rPr>
                <w:rFonts w:cs="Times New Roman"/>
              </w:rPr>
              <w:t>29.371.346</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153,5</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zračnom prometu, članak 30, stavak l.   </w:t>
      </w:r>
    </w:p>
    <w:p w:rsidR="00895DD6" w:rsidRDefault="00F31687">
      <w:r>
        <w:t xml:space="preserve">- Odluka o obvezi obavljanja domaćeg linijskog zračnog prijevoza za razdoblje od 4. srpnja 2022. do 28. ožujka 2026. godine, koju je Vlada Republike Hrvatske donijela 30. travnja 2020. godine, 22. travnja 2021. godine i  9. lipnja 2022. godine  </w:t>
      </w:r>
    </w:p>
    <w:p w:rsidR="00895DD6" w:rsidRDefault="00F31687">
      <w:r>
        <w:t>- Odluka o</w:t>
      </w:r>
      <w:r>
        <w:t xml:space="preserve"> izboru ponuda za obavljanje usluge domaćeg linijskog zračnog prijevoza, koju je Ministarstvo mora, prometa i infrastrukture donijelo 21. lipnja 2022. godine   </w:t>
      </w:r>
    </w:p>
    <w:p w:rsidR="00895DD6" w:rsidRDefault="00F31687">
      <w:r>
        <w:t>- Odluka o davanju suglasnosti Ministarstvu mora, prometa i infrastrukture za preuzimanje obvez</w:t>
      </w:r>
      <w:r>
        <w:t>a na teret sredstava državnog proračuna Republike Hrvatske u razdoblju od 2022. do 2026. godine za sklapanje ugovora o obvezi obavljanja domaćeg linijskog zračnog prijevoza, koju je Vlada Republike Hrvatske donijela na sjednici održanoj 1. rujna 2022. godi</w:t>
      </w:r>
      <w:r>
        <w:t xml:space="preserve">ne  </w:t>
      </w:r>
    </w:p>
    <w:p w:rsidR="00895DD6" w:rsidRDefault="00F31687">
      <w:r>
        <w:t xml:space="preserve">- Ugovor o obvezi obavljanja domaćeg linijskog zračnog prijevoza za razdoblje od 4. srpnja 2022. do 28. ožujka 2026. godine, od 7. rujna 2022. godine (sa zračnim prijevoznikom Croatia Airlines d.d.)   </w:t>
      </w:r>
    </w:p>
    <w:p w:rsidR="00895DD6" w:rsidRDefault="00F31687">
      <w:r>
        <w:lastRenderedPageBreak/>
        <w:t xml:space="preserve">- Dodatak I. Ugovora o obvezi obavljanja domaćeg </w:t>
      </w:r>
      <w:r>
        <w:t xml:space="preserve">linijskog zračnog prijevoza za razdoblje od 4. srpnja 2022. do 28. ožujka 2026. godine, od 22. prosinca 2025. godine (sa zračnim prijevoznikom Croatia Airlines d.d.)   </w:t>
      </w:r>
    </w:p>
    <w:p w:rsidR="00895DD6" w:rsidRDefault="00F31687">
      <w:r>
        <w:t>- Ugovor o obvezi obavljanja domaćeg linijskog zračnog prijevoza za razdoblje od 4. srp</w:t>
      </w:r>
      <w:r>
        <w:t>nja 2022. do 28. ožujka 2026. godine, od 7. rujna 2022. godine (sa zračnim prijevoznikom Trade Air d.o.o.)</w:t>
      </w:r>
    </w:p>
    <w:p w:rsidR="00895DD6" w:rsidRDefault="00F31687">
      <w:pPr>
        <w:pStyle w:val="Heading8"/>
        <w:jc w:val="left"/>
      </w:pPr>
      <w:r>
        <w:t>Opis aktivnosti</w:t>
      </w:r>
    </w:p>
    <w:p w:rsidR="00895DD6" w:rsidRDefault="00F31687">
      <w:r>
        <w:t>Sredstvima s ove aktivnosti u 2025. godini isplaćivana je naknada zračnim prijevoznicima za obavljanje prijevoza na domaćim redovitim</w:t>
      </w:r>
      <w:r>
        <w:t xml:space="preserve"> zračnim linijama, kao javne usluge (Services of General Economic Interest – SGEI) zračnom prijevozniku Croatia Airlines d.d. (za održavanje 6 zračnih linija) i zračnom prijevozniku Trade Air d.o.o. (za održavanje 6 zračnih linija) u sveukupnom iznosu od 2</w:t>
      </w:r>
      <w:r>
        <w:t xml:space="preserve">9.371.346 EUR.  </w:t>
      </w:r>
    </w:p>
    <w:p w:rsidR="00895DD6" w:rsidRDefault="00F31687">
      <w:r>
        <w:t>U 2025. godini zračni prijevoznik Croatia Airlines d.d., je obavljao domaći linijski zračni prijevoz na 6 zračnih linija: Dubrovnik – Zagreb – Dubrovnik; Split – Zagreb – Split; Zagreb – Zadar – Pula – Zadar – Zagreb; Zagreb – Brač – Zagre</w:t>
      </w:r>
      <w:r>
        <w:t xml:space="preserve">b; Osijek – Dubrovnik – Osijek; Osijek – Split – Osijek. </w:t>
      </w:r>
    </w:p>
    <w:p w:rsidR="00895DD6" w:rsidRDefault="00F31687">
      <w:r>
        <w:t>Zračnom prijevozniku Croatia Airlines d.d. su, na temelju Ugovora od 7. rujna 2022. godine, sredstvima s ove aktivnosti u 2025. godini plaćeni troškovi obavljanja domaćeg linijskog zračnog prijevoza</w:t>
      </w:r>
      <w:r>
        <w:t xml:space="preserve"> koji su nastali u razdoblju od 1. studenoga 2024. do 30. rujna 2025. godine i to u iznosu od 15.910.239 EUR. U 2025. godini izvršena je i prijevremena isplata preostalog iznosa ugovorene naknade do kraja ugovornog razdoblja tj. do 28. ožujka 2026. godine </w:t>
      </w:r>
      <w:r>
        <w:t>u iznosu od 3.294.206 EUR. Na temelju Dodatka I. Ugovora od 22. prosinca 2025. godine zračnom prijevozniku Croatia Airlines d.d. isplaćen je dio dodatne naknade i to u iznosu od 5.125.715 EUR te je za obavljanje domaćeg linijskog zračnog prijevoza, zračnom</w:t>
      </w:r>
      <w:r>
        <w:t xml:space="preserve"> prijevozniku Croatia Airlines u 2025. godini isplaćen iznos od 24.330.160 EUR. </w:t>
      </w:r>
    </w:p>
    <w:p w:rsidR="00895DD6" w:rsidRDefault="00F31687">
      <w:r>
        <w:t>Zračni prijevoznik Trade Air d.o.o., u 2025. godini obavljao je domaći linijski zračni prijevoz na 6 zračnih linija: Osijek – Zagreb – Osijek, Osijek – Pula – Split – Pula – O</w:t>
      </w:r>
      <w:r>
        <w:t xml:space="preserve">sijek, Osijek – Rijeka – Osijek, Rijeka – Split – Dubrovnik – Split – Rijeka, Osijek – Zadar – Osijek, Rijeka – Zadar – Rijeka. </w:t>
      </w:r>
    </w:p>
    <w:p w:rsidR="00895DD6" w:rsidRDefault="00F31687">
      <w:r>
        <w:t>Zračnom prijevozniku Trade Air d.o.o. su,  na temelju Ugovora od 7. rujna 2022. godine,  sredstvima s ove aktivnosti u 2025. go</w:t>
      </w:r>
      <w:r>
        <w:t xml:space="preserve">dini plaćeni troškovi obavljanja domaćeg linijskog zračnog prijevoza koji su nastali u razdoblju od 1. prosinca 2024. do 31. studenoga 2025. godine i to u iznosu od 5.041.186 EUR. </w:t>
      </w:r>
    </w:p>
    <w:p w:rsidR="00895DD6" w:rsidRDefault="00F31687">
      <w:r>
        <w:t>Zračni prijevoznici su u 2025. godini obavljali domaći linijski zračni prij</w:t>
      </w:r>
      <w:r>
        <w:t>evoz kao javnu uslugu te je u razdoblju 1. siječnja 2025. do 30. prosinca 2025. godine, Croatia Airlines ostvarila fizički promet od 6.266 leta, dok je Trade Air ostvario fizički promet od 1.656 leta. U razdoblju siječanj – prosinac 2025. godine ostvaren j</w:t>
      </w:r>
      <w:r>
        <w:t xml:space="preserve">e fizički promet od ukupno 7.922 leta na domaćim zračnim linijama, što je za 22 leta više od procijenjene ciljane godišnje vrijednosti.  </w:t>
      </w:r>
    </w:p>
    <w:p w:rsidR="00895DD6" w:rsidRDefault="00F31687">
      <w:r>
        <w:t>Razlika više ostvarenih letova u odnosu na ciljanu godišnju vrijednost je nastala jer su ugovorima definirana razdoblj</w:t>
      </w:r>
      <w:r>
        <w:t>a za koja zračni prijevoznici obavljaju ovu javnu uslugu kao i broj letova kroz ista razdoblja, a koja razdoblja se ne poklapaju s kalendarskom godinom te iz tog razloga, kod procjene ciljane vrijednosti, nije bilo moguće jasno razdvojiti broj letova prema</w:t>
      </w:r>
      <w:r>
        <w:t xml:space="preserve"> kalendarskoj 2025. godini.  </w:t>
      </w:r>
    </w:p>
    <w:p w:rsidR="00895DD6" w:rsidRDefault="00F31687">
      <w:r>
        <w:t>Planirani ciljevi ove aktivnosti u 2025. godini su postignuti, zračni prijevoznici su obavljali ovu javnu uslugu ugovorenom dinamikom te nisu uočeni problemi u njenom izvršavanju.</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podržanih letova na domaćim zračnim linijama</w:t>
            </w:r>
          </w:p>
        </w:tc>
        <w:tc>
          <w:tcPr>
            <w:tcW w:w="2551" w:type="dxa"/>
          </w:tcPr>
          <w:p w:rsidR="00895DD6" w:rsidRDefault="00F31687">
            <w:pPr>
              <w:pStyle w:val="CellColumn"/>
              <w:jc w:val="left"/>
            </w:pPr>
            <w:r>
              <w:rPr>
                <w:rFonts w:cs="Times New Roman"/>
              </w:rPr>
              <w:t>Očuvanjem broja domaćih letova postiže se ujednačeni razvoj regija te održavanje postojeće prom</w:t>
            </w:r>
            <w:r>
              <w:rPr>
                <w:rFonts w:cs="Times New Roman"/>
              </w:rPr>
              <w:t xml:space="preserve">etne povezanosti regija i područja unutar RH  </w:t>
            </w:r>
          </w:p>
          <w:p w:rsidR="00895DD6" w:rsidRDefault="00F31687">
            <w:pPr>
              <w:pStyle w:val="CellColumn"/>
              <w:jc w:val="left"/>
            </w:pPr>
            <w:r>
              <w:rPr>
                <w:rFonts w:cs="Times New Roman"/>
              </w:rPr>
              <w:t xml:space="preserve">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7.600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7.900</w:t>
            </w:r>
          </w:p>
        </w:tc>
        <w:tc>
          <w:tcPr>
            <w:tcW w:w="1020" w:type="dxa"/>
          </w:tcPr>
          <w:p w:rsidR="00895DD6" w:rsidRDefault="00F31687">
            <w:pPr>
              <w:pStyle w:val="CellColumn"/>
              <w:jc w:val="right"/>
            </w:pPr>
            <w:r>
              <w:rPr>
                <w:rFonts w:cs="Times New Roman"/>
              </w:rPr>
              <w:t>7.922</w:t>
            </w:r>
          </w:p>
        </w:tc>
      </w:tr>
    </w:tbl>
    <w:p w:rsidR="00895DD6" w:rsidRDefault="00895DD6">
      <w:pPr>
        <w:jc w:val="left"/>
      </w:pPr>
    </w:p>
    <w:p w:rsidR="00895DD6" w:rsidRDefault="00F31687">
      <w:pPr>
        <w:pStyle w:val="Heading4"/>
      </w:pPr>
      <w:r>
        <w:lastRenderedPageBreak/>
        <w:t>A754025 NADOKNADA TROŠKOVA HRVATSKOJ KONTROLI ZRAČNE PLOVIDBE ZA RUTNE I TERMINALNE NAKNADE ZA IZUZETE LETOVE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A754025-NADOKNADA TROŠKOVA HRVATSKOJ KONTROLI ZRAČNE PLOVIDBE ZA RUTNE I TERMINALNE NAKNADE ZA IZUZETE LETOVE</w:t>
            </w:r>
          </w:p>
        </w:tc>
        <w:tc>
          <w:tcPr>
            <w:tcW w:w="2041" w:type="dxa"/>
          </w:tcPr>
          <w:p w:rsidR="00895DD6" w:rsidRDefault="00F31687">
            <w:pPr>
              <w:pStyle w:val="CellColumn"/>
              <w:jc w:val="right"/>
            </w:pPr>
            <w:r>
              <w:rPr>
                <w:rFonts w:cs="Times New Roman"/>
              </w:rPr>
              <w:t>598.147</w:t>
            </w:r>
          </w:p>
        </w:tc>
        <w:tc>
          <w:tcPr>
            <w:tcW w:w="2041" w:type="dxa"/>
          </w:tcPr>
          <w:p w:rsidR="00895DD6" w:rsidRDefault="00F31687">
            <w:pPr>
              <w:pStyle w:val="CellColumn"/>
              <w:jc w:val="right"/>
            </w:pPr>
            <w:r>
              <w:rPr>
                <w:rFonts w:cs="Times New Roman"/>
              </w:rPr>
              <w:t>529.347</w:t>
            </w:r>
          </w:p>
        </w:tc>
        <w:tc>
          <w:tcPr>
            <w:tcW w:w="2041" w:type="dxa"/>
          </w:tcPr>
          <w:p w:rsidR="00895DD6" w:rsidRDefault="00F31687">
            <w:pPr>
              <w:pStyle w:val="CellColumn"/>
              <w:jc w:val="right"/>
            </w:pPr>
            <w:r>
              <w:rPr>
                <w:rFonts w:cs="Times New Roman"/>
              </w:rPr>
              <w:t>529.346</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88,5</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osnutku Hrvatske kontrole zračne plovidbe, članak 3, stavak 4   </w:t>
      </w:r>
    </w:p>
    <w:p w:rsidR="00895DD6" w:rsidRDefault="00F31687">
      <w:r>
        <w:t>- Odluka o utvrđivanju letova koji se izuzimaju od plaćanja naknada u zračnoj plovidbi</w:t>
      </w:r>
    </w:p>
    <w:p w:rsidR="00895DD6" w:rsidRDefault="00F31687">
      <w:pPr>
        <w:pStyle w:val="Heading8"/>
        <w:jc w:val="left"/>
      </w:pPr>
      <w:r>
        <w:t>Opis aktivnosti</w:t>
      </w:r>
    </w:p>
    <w:p w:rsidR="00895DD6" w:rsidRDefault="00F31687">
      <w:r>
        <w:t>Temeljem Zakona o osnutku Hrvatske kontrole zračne plovidbe i Odluke o utvrđivanju letova koji se izuzimaju od plaćanja naknada u zračnoj plovidbi, proračunskim sredstvima s aktivnosti u 2025. godini izvršena je nadoknada troškova usluga koje je Hrvatska k</w:t>
      </w:r>
      <w:r>
        <w:t>ontrola zračne plovidbe d.o.o. pružala letovima koji su izuzeti od plaćanja rutnih i terminalnih naknada (potraga i spašavanje, vojni letovi, policijski letovi, humanitarni letovi, određena osposobljavanja i dr.), a koji su nastali u prethodnoj 2024. godin</w:t>
      </w:r>
      <w:r>
        <w:t xml:space="preserve">i.  </w:t>
      </w:r>
    </w:p>
    <w:p w:rsidR="00895DD6" w:rsidRDefault="00F31687">
      <w:r>
        <w:t>Budući je Zakonom o osnutku Hrvatske kontrole zračne plovidbe, između ostalog, određeno i da će se troškovi usluga koje društvo Hrvatska kontrola zračne plovidbe d.o.o. pruža izuzetim letovima, istom Društvu nadoknađivati iz sredstava državnog proraču</w:t>
      </w:r>
      <w:r>
        <w:t>na Republike Hrvatske, a troškovi letova će se nadoknađivati u tekućoj godini za troškove koji nastanu u prethodnoj godini, s ove aktivnosti u 2025. godini izvršena je nadoknada troškova Hrvatskoj kontroli zračne plovidbe d.o.o. za usluge koje je ona pruži</w:t>
      </w:r>
      <w:r>
        <w:t xml:space="preserve">la izuzetim letovima u razdoblju od 1. siječnja 2024. do 31. prosinca 2024. godine.  </w:t>
      </w:r>
    </w:p>
    <w:p w:rsidR="00895DD6" w:rsidRDefault="00F31687">
      <w:r>
        <w:t>Hrvatska kontrola zračne plovidbe d.o.o. pružala je usluge izuzetim letovima u razdoblju od 1. siječnja 2024. do 31. prosinca 2024. godine, a za pružene usluge izuzetim l</w:t>
      </w:r>
      <w:r>
        <w:t xml:space="preserve">etovima u navedenom razdoblju za rutne naknade (Service units) i za terminalne naknade (Service units) obračunati su i ukupni troškovi koji su iznosili 529.346 EUR i koji su plaćeni u 2025. godini.   </w:t>
      </w:r>
    </w:p>
    <w:p w:rsidR="00895DD6" w:rsidRDefault="00F31687">
      <w:r>
        <w:t xml:space="preserve">Imajući u vidu da je Hrvatska kontrola zračne plovidbe </w:t>
      </w:r>
      <w:r>
        <w:t>d.o.o. pružala usluge svim izuzetim letovima (potraga i spašavanje, vojni letovi, policijski letovi, humanitarni letovi, određena osposobljavanja i dr.) te da je u tekućoj 2025. godini izvršena nadoknada stvarno nastalih troškova za obavljenu uslugu u pret</w:t>
      </w:r>
      <w:r>
        <w:t>hodnoj godini i to u 100% iznosu, može se reći da su planirani ciljevi ove aktivnosti u 2025. godini postignuti.</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Udio podržanih servisnih jedinica (Service units) za rutne naknade za izuzete letove</w:t>
            </w:r>
          </w:p>
        </w:tc>
        <w:tc>
          <w:tcPr>
            <w:tcW w:w="2551" w:type="dxa"/>
          </w:tcPr>
          <w:p w:rsidR="00895DD6" w:rsidRDefault="00F31687">
            <w:pPr>
              <w:pStyle w:val="CellColumn"/>
              <w:jc w:val="left"/>
            </w:pPr>
            <w:r>
              <w:rPr>
                <w:rFonts w:cs="Times New Roman"/>
              </w:rPr>
              <w:t>Podržavanjem servisnih jedinica (Service units) za rutne naknade za izuzete letove omogućava se nesmetan prelet zračnog prostora ili dolet na</w:t>
            </w:r>
            <w:r>
              <w:rPr>
                <w:rFonts w:cs="Times New Roman"/>
              </w:rPr>
              <w:t xml:space="preserve"> aerodrome u Republici Hrvatskoj, a za letove potraga i spašavanja, vojne letove, policijske letove te humanitarne letove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r w:rsidR="00895DD6">
        <w:trPr>
          <w:jc w:val="center"/>
        </w:trPr>
        <w:tc>
          <w:tcPr>
            <w:tcW w:w="2551" w:type="dxa"/>
          </w:tcPr>
          <w:p w:rsidR="00895DD6" w:rsidRDefault="00F31687">
            <w:pPr>
              <w:pStyle w:val="CellColumn"/>
              <w:jc w:val="left"/>
            </w:pPr>
            <w:r>
              <w:rPr>
                <w:rFonts w:cs="Times New Roman"/>
              </w:rPr>
              <w:t>Udio podržanih servisnih jedinica (Service units) za terminalne naknade za izuzete letove</w:t>
            </w:r>
          </w:p>
        </w:tc>
        <w:tc>
          <w:tcPr>
            <w:tcW w:w="2551" w:type="dxa"/>
          </w:tcPr>
          <w:p w:rsidR="00895DD6" w:rsidRDefault="00F31687">
            <w:pPr>
              <w:pStyle w:val="CellColumn"/>
              <w:jc w:val="left"/>
            </w:pPr>
            <w:r>
              <w:rPr>
                <w:rFonts w:cs="Times New Roman"/>
              </w:rPr>
              <w:t>Podržavanjem servisnih jedinica (Service units) za terminalne naknade za izuzete letove omogućava se nesmetan prelet zračnog prostora ili dolet na aerodrome u Republi</w:t>
            </w:r>
            <w:r>
              <w:rPr>
                <w:rFonts w:cs="Times New Roman"/>
              </w:rPr>
              <w:t xml:space="preserve">ci Hrvatskoj, a za letove potraga i spašavanja, vojne letove, policijske letove te humanitarne letove  </w:t>
            </w:r>
          </w:p>
          <w:p w:rsidR="00895DD6" w:rsidRDefault="00F31687">
            <w:pPr>
              <w:pStyle w:val="CellColumn"/>
              <w:jc w:val="left"/>
            </w:pPr>
            <w:r>
              <w:rPr>
                <w:rFonts w:cs="Times New Roman"/>
              </w:rPr>
              <w:t>Napomena: Radi se o godišnjoj vrijednosti</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100</w:t>
            </w:r>
          </w:p>
        </w:tc>
      </w:tr>
    </w:tbl>
    <w:p w:rsidR="00895DD6" w:rsidRDefault="00895DD6">
      <w:pPr>
        <w:jc w:val="left"/>
      </w:pPr>
    </w:p>
    <w:p w:rsidR="00895DD6" w:rsidRDefault="00F31687">
      <w:pPr>
        <w:pStyle w:val="Heading3"/>
      </w:pPr>
      <w:r>
        <w:rPr>
          <w:rFonts w:cs="Times New Roman"/>
        </w:rPr>
        <w:t>3114 IZGRADNJA I ODRŽAVANJE ŽELJEZNIČKE INFRASTRUKTURE</w:t>
      </w:r>
    </w:p>
    <w:tbl>
      <w:tblPr>
        <w:tblStyle w:val="StilTablice"/>
        <w:tblW w:w="10206" w:type="dxa"/>
        <w:jc w:val="center"/>
        <w:tblLook w:val="04A0" w:firstRow="1" w:lastRow="0" w:firstColumn="1" w:lastColumn="0" w:noHBand="0" w:noVBand="1"/>
      </w:tblPr>
      <w:tblGrid>
        <w:gridCol w:w="1893"/>
        <w:gridCol w:w="1966"/>
        <w:gridCol w:w="1966"/>
        <w:gridCol w:w="1966"/>
        <w:gridCol w:w="1203"/>
        <w:gridCol w:w="1212"/>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 xml:space="preserve">Plan 2025. </w:t>
            </w:r>
            <w:r>
              <w:rPr>
                <w:rFonts w:cs="Times New Roman"/>
              </w:rPr>
              <w:t>(eur)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3114-IZGRADNJA I ODRŽAVANJE ŽELJEZNIČKE INFRASTRUKTURE</w:t>
            </w:r>
          </w:p>
        </w:tc>
        <w:tc>
          <w:tcPr>
            <w:tcW w:w="2041" w:type="dxa"/>
          </w:tcPr>
          <w:p w:rsidR="00895DD6" w:rsidRDefault="00F31687">
            <w:pPr>
              <w:pStyle w:val="CellColumn"/>
              <w:jc w:val="right"/>
            </w:pPr>
            <w:r>
              <w:rPr>
                <w:rFonts w:cs="Times New Roman"/>
              </w:rPr>
              <w:t>258.442.443</w:t>
            </w:r>
          </w:p>
        </w:tc>
        <w:tc>
          <w:tcPr>
            <w:tcW w:w="2041" w:type="dxa"/>
          </w:tcPr>
          <w:p w:rsidR="00895DD6" w:rsidRDefault="00F31687">
            <w:pPr>
              <w:pStyle w:val="CellColumn"/>
              <w:jc w:val="right"/>
            </w:pPr>
            <w:r>
              <w:rPr>
                <w:rFonts w:cs="Times New Roman"/>
              </w:rPr>
              <w:t>370.313.182</w:t>
            </w:r>
          </w:p>
        </w:tc>
        <w:tc>
          <w:tcPr>
            <w:tcW w:w="2041" w:type="dxa"/>
          </w:tcPr>
          <w:p w:rsidR="00895DD6" w:rsidRDefault="00F31687">
            <w:pPr>
              <w:pStyle w:val="CellColumn"/>
              <w:jc w:val="right"/>
            </w:pPr>
            <w:r>
              <w:rPr>
                <w:rFonts w:cs="Times New Roman"/>
              </w:rPr>
              <w:t>369.523.204</w:t>
            </w:r>
          </w:p>
        </w:tc>
        <w:tc>
          <w:tcPr>
            <w:tcW w:w="1224" w:type="dxa"/>
          </w:tcPr>
          <w:p w:rsidR="00895DD6" w:rsidRDefault="00F31687">
            <w:pPr>
              <w:pStyle w:val="CellColumn"/>
              <w:jc w:val="right"/>
            </w:pPr>
            <w:r>
              <w:rPr>
                <w:rFonts w:cs="Times New Roman"/>
              </w:rPr>
              <w:t>99,8</w:t>
            </w:r>
          </w:p>
        </w:tc>
        <w:tc>
          <w:tcPr>
            <w:tcW w:w="1224" w:type="dxa"/>
          </w:tcPr>
          <w:p w:rsidR="00895DD6" w:rsidRDefault="00F31687">
            <w:pPr>
              <w:pStyle w:val="CellColumn"/>
              <w:jc w:val="right"/>
            </w:pPr>
            <w:r>
              <w:rPr>
                <w:rFonts w:cs="Times New Roman"/>
              </w:rPr>
              <w:t>143,0</w:t>
            </w:r>
          </w:p>
        </w:tc>
      </w:tr>
    </w:tbl>
    <w:p w:rsidR="00895DD6" w:rsidRDefault="00895DD6">
      <w:pPr>
        <w:jc w:val="left"/>
      </w:pPr>
    </w:p>
    <w:p w:rsidR="00895DD6" w:rsidRDefault="00F31687">
      <w:pPr>
        <w:pStyle w:val="Heading8"/>
        <w:jc w:val="left"/>
      </w:pPr>
      <w:r>
        <w:t>Cilj 1. Razvijen sustav željezničkog prometa</w:t>
      </w:r>
    </w:p>
    <w:p w:rsidR="00895DD6" w:rsidRDefault="00F31687">
      <w:pPr>
        <w:pStyle w:val="Heading8"/>
        <w:jc w:val="left"/>
      </w:pPr>
      <w:r>
        <w:t>Opis provedbe cilja programa</w:t>
      </w:r>
    </w:p>
    <w:p w:rsidR="00895DD6" w:rsidRDefault="00F31687">
      <w:r>
        <w:t>U 2025. godini prosječno zakašnjenje putničkih vlakova na prijeđenih 100 kilometara iznosi 8 minuta što je povećanje za 33,3% u odnosu na polaznu i ciljanu vrijednost za 2025. godinu. Ovaj porast uglavnom je rezultat intenzivnih radova na obnovi i izgradnj</w:t>
      </w:r>
      <w:r>
        <w:t xml:space="preserve">i željezničke infrastrukture (remonti pruga, kolodvora, mostova i stajališta), supstitucije vlakova autobusima (zbog radova i na zahtjev prijevoznika) te prometnih ograničenja i uvođenja laganih vožnji. </w:t>
      </w:r>
    </w:p>
    <w:p w:rsidR="00895DD6" w:rsidRDefault="00F31687">
      <w:r>
        <w:t>Prosječno zakašnjenje teretnih vlakova na 100 prijeđ</w:t>
      </w:r>
      <w:r>
        <w:t>enih kilometara u 2025. godini iznosi 195 minuta. To predstavlja povećanje za 20,3% u odnosu na ciljanju vrijednost za 2025. godinu dok je u odnosu na polaznu vrijednost zabilježeno smanjenje za 7,1%. Na povećanje prosječnog kašnjenja utjecala su čekanja n</w:t>
      </w:r>
      <w:r>
        <w:t>a dopuštenja zbog radova na pruzi i drugih prometnih uvjeta, uvođenje laganih vožnji te zatvori pruga od strane upravitelja infrastrukture. Dodatno kašnjenjima su pridonijeli željeznički prijevoznici (zbog čekanja lokomotive, sastava vlaka i osoblja) kao i</w:t>
      </w:r>
      <w:r>
        <w:t xml:space="preserve"> vanjski čimbenici poput zakašnjelih dolazaka vlakova iz drugih uprava, odbijenih prijema i carinskih zadržavanja.</w:t>
      </w:r>
    </w:p>
    <w:p w:rsidR="00895DD6" w:rsidRDefault="00F31687">
      <w:pPr>
        <w:pStyle w:val="Heading8"/>
        <w:jc w:val="left"/>
      </w:pPr>
      <w:r>
        <w:lastRenderedPageBreak/>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Prosječno zakašnjenje putničkih vlakova na prijeđenih 100 km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Smanjenjem zakašnjenja putničkih vlakova povećava se kvaliteta usluge za krajnjeg korisnika</w:t>
            </w:r>
          </w:p>
        </w:tc>
        <w:tc>
          <w:tcPr>
            <w:tcW w:w="1020" w:type="dxa"/>
          </w:tcPr>
          <w:p w:rsidR="00895DD6" w:rsidRDefault="00F31687">
            <w:pPr>
              <w:pStyle w:val="CellColumn"/>
              <w:jc w:val="right"/>
            </w:pPr>
            <w:r>
              <w:rPr>
                <w:rFonts w:cs="Times New Roman"/>
              </w:rPr>
              <w:t>min</w:t>
            </w:r>
          </w:p>
        </w:tc>
        <w:tc>
          <w:tcPr>
            <w:tcW w:w="1020" w:type="dxa"/>
          </w:tcPr>
          <w:p w:rsidR="00895DD6" w:rsidRDefault="00F31687">
            <w:pPr>
              <w:pStyle w:val="CellColumn"/>
              <w:jc w:val="right"/>
            </w:pPr>
            <w:r>
              <w:rPr>
                <w:rFonts w:cs="Times New Roman"/>
              </w:rPr>
              <w:t>6</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6</w:t>
            </w:r>
          </w:p>
        </w:tc>
        <w:tc>
          <w:tcPr>
            <w:tcW w:w="1020" w:type="dxa"/>
          </w:tcPr>
          <w:p w:rsidR="00895DD6" w:rsidRDefault="00F31687">
            <w:pPr>
              <w:pStyle w:val="CellColumn"/>
              <w:jc w:val="right"/>
            </w:pPr>
            <w:r>
              <w:rPr>
                <w:rFonts w:cs="Times New Roman"/>
              </w:rPr>
              <w:t>8</w:t>
            </w:r>
          </w:p>
        </w:tc>
      </w:tr>
      <w:tr w:rsidR="00895DD6">
        <w:trPr>
          <w:jc w:val="center"/>
        </w:trPr>
        <w:tc>
          <w:tcPr>
            <w:tcW w:w="2551" w:type="dxa"/>
          </w:tcPr>
          <w:p w:rsidR="00895DD6" w:rsidRDefault="00F31687">
            <w:pPr>
              <w:pStyle w:val="CellColumn"/>
              <w:jc w:val="left"/>
            </w:pPr>
            <w:r>
              <w:rPr>
                <w:rFonts w:cs="Times New Roman"/>
              </w:rPr>
              <w:t xml:space="preserve">Prosječno zakašnjenje teretnih vlakova na prijeđenih 100 km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Smanjenjem zakašnjenja teretnih vlakova povećava se kvaliteta usluge za krajnjeg korisnika</w:t>
            </w:r>
          </w:p>
        </w:tc>
        <w:tc>
          <w:tcPr>
            <w:tcW w:w="1020" w:type="dxa"/>
          </w:tcPr>
          <w:p w:rsidR="00895DD6" w:rsidRDefault="00F31687">
            <w:pPr>
              <w:pStyle w:val="CellColumn"/>
              <w:jc w:val="right"/>
            </w:pPr>
            <w:r>
              <w:rPr>
                <w:rFonts w:cs="Times New Roman"/>
              </w:rPr>
              <w:t>min</w:t>
            </w:r>
          </w:p>
        </w:tc>
        <w:tc>
          <w:tcPr>
            <w:tcW w:w="1020" w:type="dxa"/>
          </w:tcPr>
          <w:p w:rsidR="00895DD6" w:rsidRDefault="00F31687">
            <w:pPr>
              <w:pStyle w:val="CellColumn"/>
              <w:jc w:val="right"/>
            </w:pPr>
            <w:r>
              <w:rPr>
                <w:rFonts w:cs="Times New Roman"/>
              </w:rPr>
              <w:t>210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162</w:t>
            </w:r>
          </w:p>
        </w:tc>
        <w:tc>
          <w:tcPr>
            <w:tcW w:w="1020" w:type="dxa"/>
          </w:tcPr>
          <w:p w:rsidR="00895DD6" w:rsidRDefault="00F31687">
            <w:pPr>
              <w:pStyle w:val="CellColumn"/>
              <w:jc w:val="right"/>
            </w:pPr>
            <w:r>
              <w:rPr>
                <w:rFonts w:cs="Times New Roman"/>
              </w:rPr>
              <w:t>195</w:t>
            </w:r>
          </w:p>
        </w:tc>
      </w:tr>
    </w:tbl>
    <w:p w:rsidR="00895DD6" w:rsidRDefault="00895DD6">
      <w:pPr>
        <w:jc w:val="left"/>
      </w:pPr>
    </w:p>
    <w:p w:rsidR="00895DD6" w:rsidRDefault="00F31687">
      <w:pPr>
        <w:pStyle w:val="Heading4"/>
      </w:pPr>
      <w:r>
        <w:t>A754029 NAKNADA U CIJENI GORIVA ZA HŽ INFRASTRUKTURU D.O.O.</w:t>
      </w:r>
    </w:p>
    <w:tbl>
      <w:tblPr>
        <w:tblStyle w:val="StilTablice"/>
        <w:tblW w:w="10206" w:type="dxa"/>
        <w:jc w:val="center"/>
        <w:tblLook w:val="04A0" w:firstRow="1" w:lastRow="0" w:firstColumn="1" w:lastColumn="0" w:noHBand="0" w:noVBand="1"/>
      </w:tblPr>
      <w:tblGrid>
        <w:gridCol w:w="1915"/>
        <w:gridCol w:w="1954"/>
        <w:gridCol w:w="1962"/>
        <w:gridCol w:w="1962"/>
        <w:gridCol w:w="1202"/>
        <w:gridCol w:w="1211"/>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A754029-NAKNADA U CIJENI GORIVA ZA HŽ INFRASTRUKTURU D.O.O.</w:t>
            </w:r>
          </w:p>
        </w:tc>
        <w:tc>
          <w:tcPr>
            <w:tcW w:w="2041" w:type="dxa"/>
          </w:tcPr>
          <w:p w:rsidR="00895DD6" w:rsidRDefault="00F31687">
            <w:pPr>
              <w:pStyle w:val="CellColumn"/>
              <w:jc w:val="right"/>
            </w:pPr>
            <w:r>
              <w:rPr>
                <w:rFonts w:cs="Times New Roman"/>
              </w:rPr>
              <w:t>78.000.000</w:t>
            </w:r>
          </w:p>
        </w:tc>
        <w:tc>
          <w:tcPr>
            <w:tcW w:w="2041" w:type="dxa"/>
          </w:tcPr>
          <w:p w:rsidR="00895DD6" w:rsidRDefault="00F31687">
            <w:pPr>
              <w:pStyle w:val="CellColumn"/>
              <w:jc w:val="right"/>
            </w:pPr>
            <w:r>
              <w:rPr>
                <w:rFonts w:cs="Times New Roman"/>
              </w:rPr>
              <w:t>101.585.708</w:t>
            </w:r>
          </w:p>
        </w:tc>
        <w:tc>
          <w:tcPr>
            <w:tcW w:w="2041" w:type="dxa"/>
          </w:tcPr>
          <w:p w:rsidR="00895DD6" w:rsidRDefault="00F31687">
            <w:pPr>
              <w:pStyle w:val="CellColumn"/>
              <w:jc w:val="right"/>
            </w:pPr>
            <w:r>
              <w:rPr>
                <w:rFonts w:cs="Times New Roman"/>
              </w:rPr>
              <w:t>100.822.780</w:t>
            </w:r>
          </w:p>
        </w:tc>
        <w:tc>
          <w:tcPr>
            <w:tcW w:w="1224" w:type="dxa"/>
          </w:tcPr>
          <w:p w:rsidR="00895DD6" w:rsidRDefault="00F31687">
            <w:pPr>
              <w:pStyle w:val="CellColumn"/>
              <w:jc w:val="right"/>
            </w:pPr>
            <w:r>
              <w:rPr>
                <w:rFonts w:cs="Times New Roman"/>
              </w:rPr>
              <w:t>99,2</w:t>
            </w:r>
          </w:p>
        </w:tc>
        <w:tc>
          <w:tcPr>
            <w:tcW w:w="1224" w:type="dxa"/>
          </w:tcPr>
          <w:p w:rsidR="00895DD6" w:rsidRDefault="00F31687">
            <w:pPr>
              <w:pStyle w:val="CellColumn"/>
              <w:jc w:val="right"/>
            </w:pPr>
            <w:r>
              <w:rPr>
                <w:rFonts w:cs="Times New Roman"/>
              </w:rPr>
              <w:t>129,3</w:t>
            </w:r>
          </w:p>
        </w:tc>
      </w:tr>
    </w:tbl>
    <w:p w:rsidR="00895DD6" w:rsidRDefault="00895DD6">
      <w:pPr>
        <w:jc w:val="left"/>
      </w:pPr>
    </w:p>
    <w:p w:rsidR="00895DD6" w:rsidRDefault="00F31687">
      <w:pPr>
        <w:pStyle w:val="Heading8"/>
        <w:jc w:val="left"/>
      </w:pPr>
      <w:r>
        <w:t>Zakonske i druge pravne osnove</w:t>
      </w:r>
    </w:p>
    <w:p w:rsidR="00895DD6" w:rsidRDefault="00F31687">
      <w:r>
        <w:t xml:space="preserve">Zakon o željeznici, članak 18.   </w:t>
      </w:r>
    </w:p>
    <w:p w:rsidR="00895DD6" w:rsidRDefault="00F31687">
      <w:r>
        <w:t xml:space="preserve">- Strategija prometnog razvoja Republike Hrvatske za razdoblje od 2017. do 2030. godine   </w:t>
      </w:r>
    </w:p>
    <w:p w:rsidR="00895DD6" w:rsidRDefault="00F31687">
      <w:r>
        <w:t xml:space="preserve">- Nacionalni program željezničke infrastrukture za razdoblje od 2016. do 2020. godine   </w:t>
      </w:r>
    </w:p>
    <w:p w:rsidR="00895DD6" w:rsidRDefault="00F31687">
      <w:r>
        <w:t>- Zakon o p</w:t>
      </w:r>
      <w:r>
        <w:t xml:space="preserve">otvrđivanju Ugovora o jamstvu između Republike Hrvatske i Europske banke za obnovu i razvoj za "Projekt modernizacije HŽ infrastrukture“ </w:t>
      </w:r>
    </w:p>
    <w:p w:rsidR="00895DD6" w:rsidRDefault="00F31687">
      <w:r>
        <w:t>- Ugovor o međusobnim pravima i obvezama u vezi s financiranjem upravljanja željezničkom infrastrukturom u širem smisl</w:t>
      </w:r>
      <w:r>
        <w:t>u</w:t>
      </w:r>
    </w:p>
    <w:p w:rsidR="00895DD6" w:rsidRDefault="00F31687">
      <w:pPr>
        <w:pStyle w:val="Heading8"/>
        <w:jc w:val="left"/>
      </w:pPr>
      <w:r>
        <w:t>Opis aktivnosti</w:t>
      </w:r>
    </w:p>
    <w:p w:rsidR="00895DD6" w:rsidRDefault="00F31687">
      <w:r>
        <w:t xml:space="preserve">Društvu HŽ INFRASTRUKTURA d.o.o. u 2025. g. je s aktivnosti A754029 doznačeno proračunskih sredstava u ukupnom iznosu od 100.822.780,00 EUR, a koja su u cijelosti utrošena za sljedeće namjene: </w:t>
      </w:r>
    </w:p>
    <w:p w:rsidR="00895DD6" w:rsidRDefault="00F31687">
      <w:r>
        <w:t>-</w:t>
      </w:r>
      <w:r>
        <w:tab/>
        <w:t>troškove radnika koji obuhvaćaju plaće, na</w:t>
      </w:r>
      <w:r>
        <w:t xml:space="preserve">knade za prijevoz, jednokratne dodatke i ostala materijalna prava temeljem važećeg Kolektivnog ugovora HŽ INFRASTRUKTURE d.o.o. u  iznosu od 70.420.642,25 EUR, </w:t>
      </w:r>
    </w:p>
    <w:p w:rsidR="00895DD6" w:rsidRDefault="00F31687">
      <w:r>
        <w:t>-</w:t>
      </w:r>
      <w:r>
        <w:tab/>
        <w:t xml:space="preserve">podmirenje obveza prema dobavljačima u iznosu od 30.402.137,86 EUR. </w:t>
      </w:r>
    </w:p>
    <w:p w:rsidR="00895DD6" w:rsidRDefault="00F31687">
      <w:r>
        <w:t xml:space="preserve">Tijekom 2025. godine HŽ </w:t>
      </w:r>
      <w:r>
        <w:t xml:space="preserve">INFRASTRUKTURA d.o.o. je upravljala s 2.617 kilometara pruge, 552 mosta, 113 tunela, 566 službenih mjesta i 1429 željezničko cestovnih prijelaza te provodila opsežne aktivnosti na održavanju tehničko-tehnološke razine kapaciteta željezničke mreže s ciljem </w:t>
      </w:r>
      <w:r>
        <w:t xml:space="preserve">povećanja razine kvalitete i sigurnosti željezničkog prometa. </w:t>
      </w:r>
    </w:p>
    <w:p w:rsidR="00895DD6" w:rsidRDefault="00F31687">
      <w:r>
        <w:t>Pokazatelj broj kilometara obnovljenih i moderniziranih pruga nije u cijelosti ispunjen za 2025. godinu iako su se radovi provodili tijekom cijele 2025. godine te je realizacija istog pomaknuta</w:t>
      </w:r>
      <w:r>
        <w:t xml:space="preserve"> za 2026. godinu zbog promjene u vremenskom planu provedbe projekata kao i nemogućnosti dobivanja zatvora pruge.</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Broj kilometara obnovljenih i moderniziranih pruga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Povećanjem broja km obnovljenih i moderniziranih pruga postiže se viša razina usluge željezničke infrastrukture</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57,88</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170,59</w:t>
            </w:r>
          </w:p>
        </w:tc>
        <w:tc>
          <w:tcPr>
            <w:tcW w:w="1020" w:type="dxa"/>
          </w:tcPr>
          <w:p w:rsidR="00895DD6" w:rsidRDefault="00F31687">
            <w:pPr>
              <w:pStyle w:val="CellColumn"/>
              <w:jc w:val="right"/>
            </w:pPr>
            <w:r>
              <w:rPr>
                <w:rFonts w:cs="Times New Roman"/>
              </w:rPr>
              <w:t>155,25</w:t>
            </w:r>
          </w:p>
        </w:tc>
      </w:tr>
    </w:tbl>
    <w:p w:rsidR="00895DD6" w:rsidRDefault="00895DD6">
      <w:pPr>
        <w:jc w:val="left"/>
      </w:pPr>
    </w:p>
    <w:p w:rsidR="00895DD6" w:rsidRDefault="00F31687">
      <w:pPr>
        <w:pStyle w:val="Heading4"/>
      </w:pPr>
      <w:r>
        <w:t>A820082 FINANCIRANJE I SUFINANCIRANJE GRAĐENJA, MODERNIZACIJE I OBNOVE ŽELJEZNIČKE INFRASTRUKTURE</w:t>
      </w:r>
    </w:p>
    <w:tbl>
      <w:tblPr>
        <w:tblStyle w:val="StilTablice"/>
        <w:tblW w:w="10206" w:type="dxa"/>
        <w:jc w:val="center"/>
        <w:tblLook w:val="04A0" w:firstRow="1" w:lastRow="0" w:firstColumn="1" w:lastColumn="0" w:noHBand="0" w:noVBand="1"/>
      </w:tblPr>
      <w:tblGrid>
        <w:gridCol w:w="1893"/>
        <w:gridCol w:w="1966"/>
        <w:gridCol w:w="1966"/>
        <w:gridCol w:w="1966"/>
        <w:gridCol w:w="1203"/>
        <w:gridCol w:w="1212"/>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A820082-FINANCIR</w:t>
            </w:r>
            <w:r>
              <w:rPr>
                <w:rFonts w:cs="Times New Roman"/>
              </w:rPr>
              <w:t>ANJE I SUFINANCIRANJE GRAĐENJA, MODERNIZACIJE I OBNOVE ŽELJEZNIČKE INFRASTRUKTURE</w:t>
            </w:r>
          </w:p>
        </w:tc>
        <w:tc>
          <w:tcPr>
            <w:tcW w:w="2041" w:type="dxa"/>
          </w:tcPr>
          <w:p w:rsidR="00895DD6" w:rsidRDefault="00F31687">
            <w:pPr>
              <w:pStyle w:val="CellColumn"/>
              <w:jc w:val="right"/>
            </w:pPr>
            <w:r>
              <w:rPr>
                <w:rFonts w:cs="Times New Roman"/>
              </w:rPr>
              <w:t>127.479.449</w:t>
            </w:r>
          </w:p>
        </w:tc>
        <w:tc>
          <w:tcPr>
            <w:tcW w:w="2041" w:type="dxa"/>
          </w:tcPr>
          <w:p w:rsidR="00895DD6" w:rsidRDefault="00F31687">
            <w:pPr>
              <w:pStyle w:val="CellColumn"/>
              <w:jc w:val="right"/>
            </w:pPr>
            <w:r>
              <w:rPr>
                <w:rFonts w:cs="Times New Roman"/>
              </w:rPr>
              <w:t>239.328.129</w:t>
            </w:r>
          </w:p>
        </w:tc>
        <w:tc>
          <w:tcPr>
            <w:tcW w:w="2041" w:type="dxa"/>
          </w:tcPr>
          <w:p w:rsidR="00895DD6" w:rsidRDefault="00F31687">
            <w:pPr>
              <w:pStyle w:val="CellColumn"/>
              <w:jc w:val="right"/>
            </w:pPr>
            <w:r>
              <w:rPr>
                <w:rFonts w:cs="Times New Roman"/>
              </w:rPr>
              <w:t>239.328.129</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187,7</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18.   </w:t>
      </w:r>
    </w:p>
    <w:p w:rsidR="00895DD6" w:rsidRDefault="00F31687">
      <w:r>
        <w:t xml:space="preserve">- Strategija prometnog razvoja Republike Hrvatske za razdoblje od 2017. do 2030. godine   </w:t>
      </w:r>
    </w:p>
    <w:p w:rsidR="00895DD6" w:rsidRDefault="00F31687">
      <w:r>
        <w:t xml:space="preserve">- Nacionalni program željezničke infrastrukture za razdoblje od 2016. do 2020. godine  </w:t>
      </w:r>
    </w:p>
    <w:p w:rsidR="00895DD6" w:rsidRDefault="00F31687">
      <w:r>
        <w:t>- Nacionalna razvojna strategija Republike Hrvatske do 2030. godine (NRS 2030</w:t>
      </w:r>
      <w:r>
        <w:t xml:space="preserve">.)  </w:t>
      </w:r>
    </w:p>
    <w:p w:rsidR="00895DD6" w:rsidRDefault="00F31687">
      <w:r>
        <w:t xml:space="preserve">- Nacionalni program reformi (NPR 2020.) </w:t>
      </w:r>
    </w:p>
    <w:p w:rsidR="00895DD6" w:rsidRDefault="00F31687">
      <w:r>
        <w:t xml:space="preserve">- Zakon o sustavu strateškog planiranja i upravljanja razvojem Republike Hrvatske  </w:t>
      </w:r>
    </w:p>
    <w:p w:rsidR="00895DD6" w:rsidRDefault="00F31687">
      <w:r>
        <w:t xml:space="preserve">- Strategija razvoja željezničkog sustava Republike Hrvatske do 2032. godine  </w:t>
      </w:r>
    </w:p>
    <w:p w:rsidR="00895DD6" w:rsidRDefault="00F31687">
      <w:r>
        <w:t>- Nacionalni plan upravljanja željezničkom inf</w:t>
      </w:r>
      <w:r>
        <w:t xml:space="preserve">rastrukturom i uslužnim objektima i razvoja usluga željezničkog prijevoza za razdoblje do 2030. godine  </w:t>
      </w:r>
    </w:p>
    <w:p w:rsidR="00895DD6" w:rsidRDefault="00F31687">
      <w:r>
        <w:t xml:space="preserve">- Nacionalni plan razvoja željezničke infrastrukture za razdoblje do 2030. godine  </w:t>
      </w:r>
    </w:p>
    <w:p w:rsidR="00895DD6" w:rsidRDefault="00F31687">
      <w:r>
        <w:t>- Program rješavanja željezničko-cestovnih i pješačkih prijelaza pr</w:t>
      </w:r>
      <w:r>
        <w:t xml:space="preserve">eko pruge za razdoblje od 2023. do 2027. godine </w:t>
      </w:r>
    </w:p>
    <w:p w:rsidR="00895DD6" w:rsidRDefault="00F31687">
      <w:r>
        <w:t>- Ugovor o financiranju između Republike Hrvatske i Europske investicijske banke za Projekt „Revitalizacija željezničkog sustava Republike Hrvatske“ iz okvirnog zajma Broj Ugovora (FI br.) 95.797, Operativni</w:t>
      </w:r>
      <w:r>
        <w:t xml:space="preserve"> broj (Serapis br.) 2022-0660 od 22. siječnja 2024. godine</w:t>
      </w:r>
    </w:p>
    <w:p w:rsidR="00895DD6" w:rsidRDefault="00F31687">
      <w:pPr>
        <w:pStyle w:val="Heading8"/>
        <w:jc w:val="left"/>
      </w:pPr>
      <w:r>
        <w:t>Opis aktivnosti</w:t>
      </w:r>
    </w:p>
    <w:p w:rsidR="00895DD6" w:rsidRDefault="00F31687">
      <w:r>
        <w:t xml:space="preserve">Tijekom 2025. godine doznačena su proračunska sredstva  društvu HŽ INFRASTRUKTURA d.o.o. u ukupnom iznosu od 239.328.128,99 EUR, od čega se na izvor 11 odnosi 133.387.128,99 EUR, a </w:t>
      </w:r>
      <w:r>
        <w:t xml:space="preserve">na izvor 810 odnosi se 105.941.000,00 EUR. </w:t>
      </w:r>
    </w:p>
    <w:p w:rsidR="00895DD6" w:rsidRDefault="00F31687">
      <w:r>
        <w:t xml:space="preserve">Sredstva izvora 11 u visini od 133.387.128,99 EUR utrošena su za: </w:t>
      </w:r>
    </w:p>
    <w:p w:rsidR="00895DD6" w:rsidRDefault="00F31687">
      <w:r>
        <w:lastRenderedPageBreak/>
        <w:t>-</w:t>
      </w:r>
      <w:r>
        <w:tab/>
        <w:t>troškove radnika (plaće, naknade za prijevoz za dolazak na posao i povratak s posla, jednokratne prigodne nagrade kao što su regres, božićnica, uskrsnica, nagrada za vjernost društvu, otpremnine i druga materijalna prava radnika) u ukupnom iznosu 2.310.8</w:t>
      </w:r>
      <w:r>
        <w:t xml:space="preserve">73,60 EUR </w:t>
      </w:r>
    </w:p>
    <w:p w:rsidR="00895DD6" w:rsidRDefault="00F31687">
      <w:r>
        <w:t>-</w:t>
      </w:r>
      <w:r>
        <w:tab/>
        <w:t>troškove provedbe programa obnove i modernizacije pruga za lokalni, regionalni i međunarodni promet, program obnove i modernizacije željezničkog čvorišta Zagreb, troškove programa aktivnosti u funkciji infrastrukture i prometa na mreži kao cje</w:t>
      </w:r>
      <w:r>
        <w:t xml:space="preserve">lini kao i izgradnje novih pruga i kolosijeka u ukupnom iznosu od 131.076.255,39 EUR odnosno kako slijedi: </w:t>
      </w:r>
    </w:p>
    <w:p w:rsidR="00895DD6" w:rsidRDefault="00F31687">
      <w:r>
        <w:t>˗</w:t>
      </w:r>
      <w:r>
        <w:tab/>
        <w:t xml:space="preserve">izvođenje radova na projektima </w:t>
      </w:r>
    </w:p>
    <w:p w:rsidR="00895DD6" w:rsidRDefault="00F31687">
      <w:r>
        <w:t>˗</w:t>
      </w:r>
      <w:r>
        <w:tab/>
        <w:t xml:space="preserve">uslugu nadzora nad izvođenjem radova na projektima </w:t>
      </w:r>
    </w:p>
    <w:p w:rsidR="00895DD6" w:rsidRDefault="00F31687">
      <w:r>
        <w:t>˗</w:t>
      </w:r>
      <w:r>
        <w:tab/>
        <w:t xml:space="preserve">financiranje utvrđene razlike u cijeni radova </w:t>
      </w:r>
    </w:p>
    <w:p w:rsidR="00895DD6" w:rsidRDefault="00F31687">
      <w:r>
        <w:t>˗</w:t>
      </w:r>
      <w:r>
        <w:tab/>
        <w:t>izradu st</w:t>
      </w:r>
      <w:r>
        <w:t xml:space="preserve">udijske/tehničke dokumentacije </w:t>
      </w:r>
    </w:p>
    <w:p w:rsidR="00895DD6" w:rsidRDefault="00F31687">
      <w:r>
        <w:t>˗</w:t>
      </w:r>
      <w:r>
        <w:tab/>
        <w:t xml:space="preserve">troškove tehničkog pregleda </w:t>
      </w:r>
    </w:p>
    <w:p w:rsidR="00895DD6" w:rsidRDefault="00F31687">
      <w:r>
        <w:t>˗</w:t>
      </w:r>
      <w:r>
        <w:tab/>
        <w:t xml:space="preserve">kupnju tucanika, pragova, tračnica </w:t>
      </w:r>
    </w:p>
    <w:p w:rsidR="00895DD6" w:rsidRDefault="00F31687">
      <w:r>
        <w:t>˗</w:t>
      </w:r>
      <w:r>
        <w:tab/>
        <w:t xml:space="preserve">kupnju materijala </w:t>
      </w:r>
    </w:p>
    <w:p w:rsidR="00895DD6" w:rsidRDefault="00F31687">
      <w:r>
        <w:t>˗</w:t>
      </w:r>
      <w:r>
        <w:tab/>
        <w:t xml:space="preserve">kupnju fazmetra za SPDRL30 i pripadajućih dijelova </w:t>
      </w:r>
    </w:p>
    <w:p w:rsidR="00895DD6" w:rsidRDefault="00F31687">
      <w:r>
        <w:t>˗</w:t>
      </w:r>
      <w:r>
        <w:tab/>
        <w:t xml:space="preserve">popravke relejnih grupa </w:t>
      </w:r>
    </w:p>
    <w:p w:rsidR="00895DD6" w:rsidRDefault="00F31687">
      <w:r>
        <w:t>˗</w:t>
      </w:r>
      <w:r>
        <w:tab/>
        <w:t xml:space="preserve">ugradnju sustava grijanja </w:t>
      </w:r>
    </w:p>
    <w:p w:rsidR="00895DD6" w:rsidRDefault="00F31687">
      <w:r>
        <w:t>˗</w:t>
      </w:r>
      <w:r>
        <w:tab/>
        <w:t xml:space="preserve">rješavanje imovinsko-pravnih odnosa </w:t>
      </w:r>
    </w:p>
    <w:p w:rsidR="00895DD6" w:rsidRDefault="00F31687">
      <w:r>
        <w:t>˗</w:t>
      </w:r>
      <w:r>
        <w:tab/>
        <w:t xml:space="preserve">usluge koordinatora II </w:t>
      </w:r>
    </w:p>
    <w:p w:rsidR="00895DD6" w:rsidRDefault="00F31687">
      <w:r>
        <w:t>˗</w:t>
      </w:r>
      <w:r>
        <w:tab/>
        <w:t xml:space="preserve">kupnju ŽAT centrala </w:t>
      </w:r>
    </w:p>
    <w:p w:rsidR="00895DD6" w:rsidRDefault="00F31687">
      <w:r>
        <w:t>˗</w:t>
      </w:r>
      <w:r>
        <w:tab/>
        <w:t xml:space="preserve">zamjenu energetskih transformatora i sekundarne opreme </w:t>
      </w:r>
    </w:p>
    <w:p w:rsidR="00895DD6" w:rsidRDefault="00F31687">
      <w:r>
        <w:t>˗</w:t>
      </w:r>
      <w:r>
        <w:tab/>
        <w:t xml:space="preserve">naknade za priključenja na elektromrežu </w:t>
      </w:r>
    </w:p>
    <w:p w:rsidR="00895DD6" w:rsidRDefault="00F31687">
      <w:r>
        <w:t>˗</w:t>
      </w:r>
      <w:r>
        <w:tab/>
        <w:t xml:space="preserve">javnobilježničke usluge </w:t>
      </w:r>
    </w:p>
    <w:p w:rsidR="00895DD6" w:rsidRDefault="00F31687">
      <w:r>
        <w:t>˗</w:t>
      </w:r>
      <w:r>
        <w:tab/>
        <w:t xml:space="preserve">troškove vještačenja </w:t>
      </w:r>
    </w:p>
    <w:p w:rsidR="00895DD6" w:rsidRDefault="00F31687">
      <w:r>
        <w:t>˗</w:t>
      </w:r>
      <w:r>
        <w:tab/>
        <w:t>troškove prist</w:t>
      </w:r>
      <w:r>
        <w:t xml:space="preserve">ojbi i ostalo. </w:t>
      </w:r>
    </w:p>
    <w:p w:rsidR="00895DD6" w:rsidRDefault="00F31687">
      <w:r>
        <w:t xml:space="preserve">Sredstva osigurana na izvoru 810-Namjenski primici u okviru provedbe projekta „Revitalizacija željezničkog sustava Republike Hrvatske“ iz okvirnog zajma EIB-a , u visini 105.941.000,00 EUR utrošena su po projektima kako slijedi: </w:t>
      </w:r>
    </w:p>
    <w:p w:rsidR="00895DD6" w:rsidRDefault="00F31687">
      <w:r>
        <w:t>1.</w:t>
      </w:r>
      <w:r>
        <w:tab/>
        <w:t>Rekonst</w:t>
      </w:r>
      <w:r>
        <w:t xml:space="preserve">rukcija postojećeg i izgradnja drugog kolosijeka željezničke pruge na dionici pruge Dugo Selo – Križevci-7.105.688,36 EUR </w:t>
      </w:r>
    </w:p>
    <w:p w:rsidR="00895DD6" w:rsidRDefault="00F31687">
      <w:r>
        <w:t>2.</w:t>
      </w:r>
      <w:r>
        <w:tab/>
        <w:t xml:space="preserve">Rekonstrukcija postojećeg i izgradnja drugog kolosijeka željezničke pruge na dionici Križevci - Koprivnica – DG-10.802.039,48 EUR </w:t>
      </w:r>
    </w:p>
    <w:p w:rsidR="00895DD6" w:rsidRDefault="00F31687">
      <w:r>
        <w:t>3.</w:t>
      </w:r>
      <w:r>
        <w:tab/>
        <w:t xml:space="preserve">Modernizacija i obnova SS uređaja pruge M604 Oštarije – Knin-375.080,40 EUR </w:t>
      </w:r>
    </w:p>
    <w:p w:rsidR="00895DD6" w:rsidRDefault="00F31687">
      <w:r>
        <w:t>4.</w:t>
      </w:r>
      <w:r>
        <w:tab/>
        <w:t xml:space="preserve">Obnova dionice Pitomača - Kloštar (8,5 km) na pruzi R202 Varaždin – Dalj-4.051.565,68 EUR </w:t>
      </w:r>
    </w:p>
    <w:p w:rsidR="00895DD6" w:rsidRDefault="00F31687">
      <w:r>
        <w:t>5.</w:t>
      </w:r>
      <w:r>
        <w:tab/>
        <w:t xml:space="preserve">Nabava rezervnih dijelova i opreme za potrebe održavanja-2.982.593,62 EUR </w:t>
      </w:r>
    </w:p>
    <w:p w:rsidR="00895DD6" w:rsidRDefault="00F31687">
      <w:r>
        <w:t>6.</w:t>
      </w:r>
      <w:r>
        <w:tab/>
      </w:r>
      <w:r>
        <w:t xml:space="preserve">Nabava strateškog materijala za potrebe podizanja brzine na prugama-2.420.356,26 EUR </w:t>
      </w:r>
    </w:p>
    <w:p w:rsidR="00895DD6" w:rsidRDefault="00F31687">
      <w:r>
        <w:t>7.</w:t>
      </w:r>
      <w:r>
        <w:tab/>
        <w:t xml:space="preserve">Obnova dionice Generalski Stol - Oštarije (21,4 km) na pruzi M202 Zagreb Gk – Rijeka-1.709.004,13 EUR </w:t>
      </w:r>
    </w:p>
    <w:p w:rsidR="00895DD6" w:rsidRDefault="00F31687">
      <w:r>
        <w:t>8.</w:t>
      </w:r>
      <w:r>
        <w:tab/>
        <w:t xml:space="preserve">Obnova dionice Ogulin - Moravice (29,4 km) na pruzi M202 Zagreb Gk – Rijeka-275.298,74 EUR </w:t>
      </w:r>
    </w:p>
    <w:p w:rsidR="00895DD6" w:rsidRDefault="00F31687">
      <w:r>
        <w:t>9.</w:t>
      </w:r>
      <w:r>
        <w:tab/>
        <w:t>Obnova dionica Donji Kraljevec - Kotoriba (11,6 km), Kotoriba - DG (3,8 km) i DG - Čakovec (8,4 km) na pruzi M501 DG - Čakovec - Kotoriba – DG-1.467.953,63 EU</w:t>
      </w:r>
      <w:r>
        <w:t xml:space="preserve">R </w:t>
      </w:r>
    </w:p>
    <w:p w:rsidR="00895DD6" w:rsidRDefault="00F31687">
      <w:r>
        <w:t>10.</w:t>
      </w:r>
      <w:r>
        <w:tab/>
        <w:t xml:space="preserve">Obnova dionice Kutina - Deanovec (36,43 km) na pruzi M 103 Dugo Selo – Novska-10.196.166,76 EUR </w:t>
      </w:r>
    </w:p>
    <w:p w:rsidR="00895DD6" w:rsidRDefault="00F31687">
      <w:r>
        <w:t>11.</w:t>
      </w:r>
      <w:r>
        <w:tab/>
        <w:t xml:space="preserve">Obnova pruge M606 Knin - Zadar (73 km)- 17.530.875,54 EUR </w:t>
      </w:r>
    </w:p>
    <w:p w:rsidR="00895DD6" w:rsidRDefault="00F31687">
      <w:r>
        <w:t>12.</w:t>
      </w:r>
      <w:r>
        <w:tab/>
        <w:t xml:space="preserve">Sanacija kolosijeka na dionici Karlovac – Ozalj-1.508.124,27 EUR </w:t>
      </w:r>
    </w:p>
    <w:p w:rsidR="00895DD6" w:rsidRDefault="00F31687">
      <w:r>
        <w:lastRenderedPageBreak/>
        <w:t>13.</w:t>
      </w:r>
      <w:r>
        <w:tab/>
        <w:t xml:space="preserve">Sanacija pruge </w:t>
      </w:r>
      <w:r>
        <w:t xml:space="preserve">M402 Sava rasputnica - Zagreb Ranžirni kolodvor - Zagreb Klara LK i DK-9.364.524,26 EUR </w:t>
      </w:r>
    </w:p>
    <w:p w:rsidR="00895DD6" w:rsidRDefault="00F31687">
      <w:r>
        <w:t>14.</w:t>
      </w:r>
      <w:r>
        <w:tab/>
        <w:t xml:space="preserve">Sanacija kolosijeka 53,4 na dionici L204 Banova Jaruga - Daruvar – Pčelić-14.016.312,79 EUR </w:t>
      </w:r>
    </w:p>
    <w:p w:rsidR="00895DD6" w:rsidRDefault="00F31687">
      <w:r>
        <w:t>15.</w:t>
      </w:r>
      <w:r>
        <w:tab/>
        <w:t xml:space="preserve">Obnova dionice Kloštar - Koprivnica - Varaždin (74,7 km) na pruzi </w:t>
      </w:r>
      <w:r>
        <w:t xml:space="preserve">R202 Varaždin - Dalj i dionice Varaždin - Čakovec (11,8 km) na pruzi R201 Zaprešić – Čakovec-21.580.845,84 EUR </w:t>
      </w:r>
    </w:p>
    <w:p w:rsidR="00895DD6" w:rsidRDefault="00F31687">
      <w:r>
        <w:t>16.</w:t>
      </w:r>
      <w:r>
        <w:tab/>
        <w:t xml:space="preserve">Obnova nestabilnog nasipa "Tresetište" od km 85+800 do km 87+400 na pruzi M501 DG - Čakovec – Kotoriba-532.885,74 EUR </w:t>
      </w:r>
    </w:p>
    <w:p w:rsidR="00895DD6" w:rsidRDefault="00F31687">
      <w:r>
        <w:t>17.</w:t>
      </w:r>
      <w:r>
        <w:tab/>
        <w:t>Energetska obnova</w:t>
      </w:r>
      <w:r>
        <w:t xml:space="preserve"> zgrada-21.684,50 EUR </w:t>
      </w:r>
    </w:p>
    <w:p w:rsidR="00895DD6" w:rsidRDefault="00F31687">
      <w:r>
        <w:t xml:space="preserve">Sredstva su utrošena za sljedeće namjene: </w:t>
      </w:r>
    </w:p>
    <w:p w:rsidR="00895DD6" w:rsidRDefault="00F31687">
      <w:r>
        <w:t>-</w:t>
      </w:r>
      <w:r>
        <w:tab/>
        <w:t>troškove provedbe programa obnove i modernizacije pruga za lokalni, regionalni i međunarodni promet, program obnove i modernizacije željezničkog čvorišta Zagreb, troškove programa aktivnos</w:t>
      </w:r>
      <w:r>
        <w:t xml:space="preserve">ti u funkciji infrastrukture i prometa na mreži kao cjelini kao i izgradnje novih pruga i kolosijeka odnosno kako slijedi: </w:t>
      </w:r>
    </w:p>
    <w:p w:rsidR="00895DD6" w:rsidRDefault="00F31687">
      <w:r>
        <w:t>˗</w:t>
      </w:r>
      <w:r>
        <w:tab/>
        <w:t xml:space="preserve">kupnju strateškog materijala </w:t>
      </w:r>
    </w:p>
    <w:p w:rsidR="00895DD6" w:rsidRDefault="00F31687">
      <w:r>
        <w:t>˗</w:t>
      </w:r>
      <w:r>
        <w:tab/>
        <w:t xml:space="preserve">kupnju rezervnih dijelova i opreme za održavanje </w:t>
      </w:r>
    </w:p>
    <w:p w:rsidR="00895DD6" w:rsidRDefault="00F31687">
      <w:r>
        <w:t>˗</w:t>
      </w:r>
      <w:r>
        <w:tab/>
        <w:t xml:space="preserve">izvođenje radova na projektima </w:t>
      </w:r>
    </w:p>
    <w:p w:rsidR="00895DD6" w:rsidRDefault="00F31687">
      <w:r>
        <w:t>˗</w:t>
      </w:r>
      <w:r>
        <w:tab/>
        <w:t>usluge nadzo</w:t>
      </w:r>
      <w:r>
        <w:t xml:space="preserve">ra nad izvođenjem radova </w:t>
      </w:r>
    </w:p>
    <w:p w:rsidR="00895DD6" w:rsidRDefault="00F31687">
      <w:r>
        <w:t>˗</w:t>
      </w:r>
      <w:r>
        <w:tab/>
        <w:t xml:space="preserve">financiranje utvrđene razlike u cijeni radova </w:t>
      </w:r>
    </w:p>
    <w:p w:rsidR="00895DD6" w:rsidRDefault="00F31687">
      <w:r>
        <w:t>˗</w:t>
      </w:r>
      <w:r>
        <w:tab/>
        <w:t xml:space="preserve">isplate zadržanog iznosa </w:t>
      </w:r>
    </w:p>
    <w:p w:rsidR="00895DD6" w:rsidRDefault="00F31687">
      <w:r>
        <w:t>˗</w:t>
      </w:r>
      <w:r>
        <w:tab/>
        <w:t xml:space="preserve">troškove tehničkog pregleda </w:t>
      </w:r>
    </w:p>
    <w:p w:rsidR="00895DD6" w:rsidRDefault="00F31687">
      <w:r>
        <w:t>˗</w:t>
      </w:r>
      <w:r>
        <w:tab/>
        <w:t xml:space="preserve">troškove električne energije </w:t>
      </w:r>
    </w:p>
    <w:p w:rsidR="00895DD6" w:rsidRDefault="00F31687">
      <w:r>
        <w:t>˗</w:t>
      </w:r>
      <w:r>
        <w:tab/>
        <w:t xml:space="preserve">popravke i servisiranja uređaja </w:t>
      </w:r>
    </w:p>
    <w:p w:rsidR="00895DD6" w:rsidRDefault="00F31687">
      <w:r>
        <w:t>˗</w:t>
      </w:r>
      <w:r>
        <w:tab/>
        <w:t xml:space="preserve">rješavanje imovinsko-pravnih odnosa </w:t>
      </w:r>
    </w:p>
    <w:p w:rsidR="00895DD6" w:rsidRDefault="00F31687">
      <w:r>
        <w:t>˗</w:t>
      </w:r>
      <w:r>
        <w:tab/>
        <w:t>troškove vješt</w:t>
      </w:r>
      <w:r>
        <w:t xml:space="preserve">ačenja </w:t>
      </w:r>
    </w:p>
    <w:p w:rsidR="00895DD6" w:rsidRDefault="00F31687">
      <w:r>
        <w:t>˗</w:t>
      </w:r>
      <w:r>
        <w:tab/>
        <w:t xml:space="preserve">troškove pristojbi </w:t>
      </w:r>
    </w:p>
    <w:p w:rsidR="00895DD6" w:rsidRDefault="00F31687">
      <w:r>
        <w:t>˗</w:t>
      </w:r>
      <w:r>
        <w:tab/>
        <w:t xml:space="preserve">javnobilježničke i odvjetničke usluge i ostalo. </w:t>
      </w:r>
    </w:p>
    <w:p w:rsidR="00895DD6" w:rsidRDefault="00F31687">
      <w:r>
        <w:t>Pokazatelj broj završenih projekata za modernizaciju, rekonstrukciju i izgradnju željezničke pruge i unaprjeđenje željezničke infrastrukture nije u cijelosti ispunjen za 2025.</w:t>
      </w:r>
      <w:r>
        <w:t xml:space="preserve"> godinu iako su se radovi provodili tijekom cijele 2025. godine te je realizacija istog pomaknuta za 2026. godinu zbog promjene u vremenskom planu provedbe projekata.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završenih projekata (godišnja vrijednost)</w:t>
            </w:r>
          </w:p>
        </w:tc>
        <w:tc>
          <w:tcPr>
            <w:tcW w:w="2551" w:type="dxa"/>
          </w:tcPr>
          <w:p w:rsidR="00895DD6" w:rsidRDefault="00F31687">
            <w:pPr>
              <w:pStyle w:val="CellColumn"/>
              <w:jc w:val="left"/>
            </w:pPr>
            <w:r>
              <w:rPr>
                <w:rFonts w:cs="Times New Roman"/>
              </w:rPr>
              <w:t>Broj završenih projekata za modernizaciju, rekonstrukciju i izgradnju željezničke pruge i unaprjeđenje željezničke infrastrukture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9</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17</w:t>
            </w:r>
          </w:p>
        </w:tc>
        <w:tc>
          <w:tcPr>
            <w:tcW w:w="1020" w:type="dxa"/>
          </w:tcPr>
          <w:p w:rsidR="00895DD6" w:rsidRDefault="00F31687">
            <w:pPr>
              <w:pStyle w:val="CellColumn"/>
              <w:jc w:val="right"/>
            </w:pPr>
            <w:r>
              <w:rPr>
                <w:rFonts w:cs="Times New Roman"/>
              </w:rPr>
              <w:t>11</w:t>
            </w:r>
          </w:p>
        </w:tc>
      </w:tr>
    </w:tbl>
    <w:p w:rsidR="00895DD6" w:rsidRDefault="00895DD6">
      <w:pPr>
        <w:jc w:val="left"/>
      </w:pPr>
    </w:p>
    <w:p w:rsidR="00895DD6" w:rsidRDefault="00F31687">
      <w:pPr>
        <w:pStyle w:val="Heading4"/>
      </w:pPr>
      <w:r>
        <w:lastRenderedPageBreak/>
        <w:t>T754034 POTPORA TRGOVAČKIM DRUŠTVIMA U JAVNOM SEKTORU U PRIPREMI I PROVEDBI PROJEKATA PLANIRANIH ZA SUFINANCIRANJE IZ EU FONDOVA</w:t>
      </w:r>
    </w:p>
    <w:tbl>
      <w:tblPr>
        <w:tblStyle w:val="StilTablice"/>
        <w:tblW w:w="10206" w:type="dxa"/>
        <w:jc w:val="center"/>
        <w:tblLook w:val="04A0" w:firstRow="1" w:lastRow="0" w:firstColumn="1" w:lastColumn="0" w:noHBand="0" w:noVBand="1"/>
      </w:tblPr>
      <w:tblGrid>
        <w:gridCol w:w="1804"/>
        <w:gridCol w:w="1991"/>
        <w:gridCol w:w="1991"/>
        <w:gridCol w:w="1991"/>
        <w:gridCol w:w="1212"/>
        <w:gridCol w:w="1217"/>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T754034-POTPORA TRGOVAČKIM DRUŠTVIMA U JAVNOM SEKTORU U PRIPREMI I PROVEDBI PROJEKATA PLANIRANIH ZA SUFINANCIRANJE IZ EU FONDOVA</w:t>
            </w:r>
          </w:p>
        </w:tc>
        <w:tc>
          <w:tcPr>
            <w:tcW w:w="2041" w:type="dxa"/>
          </w:tcPr>
          <w:p w:rsidR="00895DD6" w:rsidRDefault="00F31687">
            <w:pPr>
              <w:pStyle w:val="CellColumn"/>
              <w:jc w:val="right"/>
            </w:pPr>
            <w:r>
              <w:rPr>
                <w:rFonts w:cs="Times New Roman"/>
              </w:rPr>
              <w:t>7.777.994</w:t>
            </w:r>
          </w:p>
        </w:tc>
        <w:tc>
          <w:tcPr>
            <w:tcW w:w="2041" w:type="dxa"/>
          </w:tcPr>
          <w:p w:rsidR="00895DD6" w:rsidRDefault="00F31687">
            <w:pPr>
              <w:pStyle w:val="CellColumn"/>
              <w:jc w:val="right"/>
            </w:pPr>
            <w:r>
              <w:rPr>
                <w:rFonts w:cs="Times New Roman"/>
              </w:rPr>
              <w:t>5.752.600</w:t>
            </w:r>
          </w:p>
        </w:tc>
        <w:tc>
          <w:tcPr>
            <w:tcW w:w="2041" w:type="dxa"/>
          </w:tcPr>
          <w:p w:rsidR="00895DD6" w:rsidRDefault="00F31687">
            <w:pPr>
              <w:pStyle w:val="CellColumn"/>
              <w:jc w:val="right"/>
            </w:pPr>
            <w:r>
              <w:rPr>
                <w:rFonts w:cs="Times New Roman"/>
              </w:rPr>
              <w:t>5.752.600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74,0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18.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(NRS 2030.)  </w:t>
      </w:r>
    </w:p>
    <w:p w:rsidR="00895DD6" w:rsidRDefault="00F31687">
      <w:r>
        <w:t xml:space="preserve">- Nacionalni program reformi (NPR 2020.)  </w:t>
      </w:r>
    </w:p>
    <w:p w:rsidR="00895DD6" w:rsidRDefault="00F31687">
      <w:r>
        <w:t>- Oper</w:t>
      </w:r>
      <w:r>
        <w:t xml:space="preserve">ativni program Konkurentnost i kohezija 2014. - 2020. (OPKK)  </w:t>
      </w:r>
    </w:p>
    <w:p w:rsidR="00895DD6" w:rsidRDefault="00F31687">
      <w:r>
        <w:t xml:space="preserve">- Program Konkurentnost i kohezija 2021. - 2027. (PKK)  </w:t>
      </w:r>
    </w:p>
    <w:p w:rsidR="00895DD6" w:rsidRDefault="00F31687">
      <w:r>
        <w:t xml:space="preserve">- Nacionalni plan oporavka i otpornosti 2021. - 2026.  </w:t>
      </w:r>
    </w:p>
    <w:p w:rsidR="00895DD6" w:rsidRDefault="00F31687">
      <w:r>
        <w:t>- Zakon o sustavu strateškog planiranja i upravljanja razvojem Republike Hrvatsk</w:t>
      </w:r>
      <w:r>
        <w:t xml:space="preserve">e  </w:t>
      </w:r>
    </w:p>
    <w:p w:rsidR="00895DD6" w:rsidRDefault="00F31687">
      <w:r>
        <w:t xml:space="preserve">- Strategija razvoja željezničkog sustava Republike Hrvatske do 2032. godine  </w:t>
      </w:r>
    </w:p>
    <w:p w:rsidR="00895DD6" w:rsidRDefault="00F31687">
      <w:r>
        <w:t xml:space="preserve">- Nacionalni plan upravljanja željezničkom infrastrukturom i uslužnim objektima i razvoja usluga željezničkog prijevoza za razdoblje do 2030. godine  </w:t>
      </w:r>
    </w:p>
    <w:p w:rsidR="00895DD6" w:rsidRDefault="00F31687">
      <w:r>
        <w:t>- Nacionalni plan razv</w:t>
      </w:r>
      <w:r>
        <w:t xml:space="preserve">oja željezničke infrastrukture za razdoblje do 2030. godine  </w:t>
      </w:r>
    </w:p>
    <w:p w:rsidR="00895DD6" w:rsidRDefault="00F31687">
      <w:r>
        <w:t xml:space="preserve">- Program rješavanja željezničko-cestovnih i pješačkih prijelaza preko pruge za razdoblje od 2023. do 2027. godine  </w:t>
      </w:r>
    </w:p>
    <w:p w:rsidR="00895DD6" w:rsidRDefault="00F31687">
      <w:r>
        <w:t xml:space="preserve">- Ugovor o dodjeli bespovratnih sredstava za projekt „Rekonstrukcija postojećeg i izgradnja drugog kolosijeka na dionici Hrvatski Leskovac - Karlovac na željezničkoj pruzi M202 Zagreb Gk - Rijeka, broj KK.07.5.1.09.0001“   </w:t>
      </w:r>
    </w:p>
    <w:p w:rsidR="00895DD6" w:rsidRDefault="00F31687">
      <w:r>
        <w:t xml:space="preserve">- Ugovor o dodjeli bespovratnih </w:t>
      </w:r>
      <w:r>
        <w:t xml:space="preserve">sredstava za projekt „Izrada studijske i projektne dokumentacije za modernizaciju željezničke pruge M202 Zagreb GK - Rijeka, dionica Karlovac - Oštarije, broj KK.07.5.1.08.0001“  </w:t>
      </w:r>
    </w:p>
    <w:p w:rsidR="00895DD6" w:rsidRDefault="00F31687">
      <w:r>
        <w:t>- Ugovor o dodjeli bespovratnih sredstava za projekt „Izrada studijske i pro</w:t>
      </w:r>
      <w:r>
        <w:t xml:space="preserve">jektne dokumentacije za modernizaciju željezničke pruge M202 Zagreb GK - Rijeka, dionica Karlovac - Oštarije - 2. faza, broj PK.5.3.06.0001“   </w:t>
      </w:r>
    </w:p>
    <w:p w:rsidR="00895DD6" w:rsidRDefault="00F31687">
      <w:r>
        <w:t xml:space="preserve"> - Ugovor o dodjeli bespovratnih sredstava za projekt „Nadogradnja i elektrifikacija postojeće željezničke pruge</w:t>
      </w:r>
      <w:r>
        <w:t xml:space="preserve"> od značaja za međunarodni promet M601 Vinkovci - Vukovar, KK.07.5.1.05.0001“ </w:t>
      </w:r>
    </w:p>
    <w:p w:rsidR="00895DD6" w:rsidRDefault="00F31687">
      <w:r>
        <w:t>- Ugovor o dodjeli bespovratnih sredstava za projekt „Rekonstrukcija postojećeg i izgradnja drugog kolosijeka željezničke pruge na dionici Dugo Selo - Križevci, broj KK.07.5.1.0</w:t>
      </w:r>
      <w:r>
        <w:t xml:space="preserve">2.0001“  </w:t>
      </w:r>
    </w:p>
    <w:p w:rsidR="00895DD6" w:rsidRDefault="00F31687">
      <w:r>
        <w:t xml:space="preserve">- Ugovor o dodjeli bespovratnih sredstava za projekt „Modernizacija i elektrifikacija željezničke pruge Zaprešić - Čakovec (R201) na dionici Zaprešić (isključivo) - Zabok (uključivo), broj KK.07.5.1.03.0001“  </w:t>
      </w:r>
    </w:p>
    <w:p w:rsidR="00895DD6" w:rsidRDefault="00F31687">
      <w:r>
        <w:lastRenderedPageBreak/>
        <w:t>- Ugovor o dodjeli bespovratnih sred</w:t>
      </w:r>
      <w:r>
        <w:t xml:space="preserve">stava za projekt „Projekt osiguranja i modernizacije željezničko-cestovnih prijelaza, broj KK.07.5.1.11.0001“. </w:t>
      </w:r>
    </w:p>
    <w:p w:rsidR="00895DD6" w:rsidRDefault="00F31687">
      <w:r>
        <w:t>-Ugovor o dodjeli bespovratnih sredstava za projekt „Projekt osiguranja i modernizacije željezničko-cestovnih prijelaza, - II. Faza, broj PK.5.2</w:t>
      </w:r>
      <w:r>
        <w:t>.07.0001“</w:t>
      </w:r>
    </w:p>
    <w:p w:rsidR="00895DD6" w:rsidRDefault="00F31687">
      <w:pPr>
        <w:pStyle w:val="Heading8"/>
        <w:jc w:val="left"/>
      </w:pPr>
      <w:r>
        <w:t>Opis aktivnosti</w:t>
      </w:r>
    </w:p>
    <w:p w:rsidR="00895DD6" w:rsidRDefault="00F31687">
      <w:r>
        <w:t xml:space="preserve">Tijekom 2025. godine doznačena proračunska sredstva društvu HŽ INFRASTRUKTURA d.o.o. u ukupnom iznosu od 5.752.600,00 EUR utrošena su za: </w:t>
      </w:r>
    </w:p>
    <w:p w:rsidR="00895DD6" w:rsidRDefault="00F31687">
      <w:r>
        <w:t>1.</w:t>
      </w:r>
      <w:r>
        <w:tab/>
        <w:t xml:space="preserve">Projekt „Nadogradnja i elektrifikacija pruge Vinkovci - Vukovar“ u ukupnom iznosu od 588.929,07 EUR za sljedeće namjene: </w:t>
      </w:r>
    </w:p>
    <w:p w:rsidR="00895DD6" w:rsidRDefault="00F31687">
      <w:r>
        <w:t>˗</w:t>
      </w:r>
      <w:r>
        <w:tab/>
        <w:t xml:space="preserve">izvođenje radova na projektu </w:t>
      </w:r>
    </w:p>
    <w:p w:rsidR="00895DD6" w:rsidRDefault="00F31687">
      <w:r>
        <w:t>˗</w:t>
      </w:r>
      <w:r>
        <w:tab/>
        <w:t xml:space="preserve">uslugu nadzora nad izvođenjem radova na projektu </w:t>
      </w:r>
    </w:p>
    <w:p w:rsidR="00895DD6" w:rsidRDefault="00F31687">
      <w:r>
        <w:t>˗</w:t>
      </w:r>
      <w:r>
        <w:tab/>
        <w:t xml:space="preserve">promidžbu i vidljivost na projektu. </w:t>
      </w:r>
    </w:p>
    <w:p w:rsidR="00895DD6" w:rsidRDefault="00F31687">
      <w:r>
        <w:t>2.</w:t>
      </w:r>
      <w:r>
        <w:tab/>
        <w:t>Proje</w:t>
      </w:r>
      <w:r>
        <w:t xml:space="preserve">kt „Modernizacija i elektrifikacija dionice Zaprešić - Zabok“ u ukupnom iznosu od 27.254,00 EUR za sljedeće namjene: </w:t>
      </w:r>
    </w:p>
    <w:p w:rsidR="00895DD6" w:rsidRDefault="00F31687">
      <w:r>
        <w:t>˗</w:t>
      </w:r>
      <w:r>
        <w:tab/>
        <w:t xml:space="preserve">uslugu nadzora radova na projektu </w:t>
      </w:r>
    </w:p>
    <w:p w:rsidR="00895DD6" w:rsidRDefault="00F31687">
      <w:r>
        <w:t>˗</w:t>
      </w:r>
      <w:r>
        <w:tab/>
        <w:t>uslugu ocjene sukladnosti građevinskog infrastrukturnog podsustava s nacionalnim pravilima od stran</w:t>
      </w:r>
      <w:r>
        <w:t xml:space="preserve">e DeBo. </w:t>
      </w:r>
    </w:p>
    <w:p w:rsidR="00895DD6" w:rsidRDefault="00F31687">
      <w:r>
        <w:t>3.</w:t>
      </w:r>
      <w:r>
        <w:tab/>
        <w:t xml:space="preserve">Projekt „Rekonstrukcija postojećeg i izgradnja drugog kolosijeka željezničke pruge na dionici Dugo Selo - Križevci“ u ukupnom iznosu od 436.008,85 EUR za razliku u cijeni za radove na projektu. </w:t>
      </w:r>
    </w:p>
    <w:p w:rsidR="00895DD6" w:rsidRDefault="00F31687">
      <w:r>
        <w:t>4.</w:t>
      </w:r>
      <w:r>
        <w:tab/>
        <w:t xml:space="preserve">Projekt „Priprema projekata i druge projektne </w:t>
      </w:r>
      <w:r>
        <w:t xml:space="preserve">dokumentacije za rekonstrukciju i izgradnju pruge/drugog kolosijeka na dionici pruge Hrvatski Leskovac - Karlovac“ u ukupnom iznosu od 314.799,68 EUR za sljedeće namjene: </w:t>
      </w:r>
    </w:p>
    <w:p w:rsidR="00895DD6" w:rsidRDefault="00F31687">
      <w:r>
        <w:t>˗</w:t>
      </w:r>
      <w:r>
        <w:tab/>
        <w:t xml:space="preserve">usluge stručnog nadzora na projektu </w:t>
      </w:r>
    </w:p>
    <w:p w:rsidR="00895DD6" w:rsidRDefault="00F31687">
      <w:r>
        <w:t>˗</w:t>
      </w:r>
      <w:r>
        <w:tab/>
        <w:t xml:space="preserve">troškove električne energije </w:t>
      </w:r>
    </w:p>
    <w:p w:rsidR="00895DD6" w:rsidRDefault="00F31687">
      <w:r>
        <w:t>˗</w:t>
      </w:r>
      <w:r>
        <w:tab/>
        <w:t>troškove pr</w:t>
      </w:r>
      <w:r>
        <w:t xml:space="preserve">istojbi </w:t>
      </w:r>
    </w:p>
    <w:p w:rsidR="00895DD6" w:rsidRDefault="00F31687">
      <w:r>
        <w:t>˗</w:t>
      </w:r>
      <w:r>
        <w:tab/>
        <w:t xml:space="preserve">troškove tehničkih pregleda </w:t>
      </w:r>
    </w:p>
    <w:p w:rsidR="00895DD6" w:rsidRDefault="00F31687">
      <w:r>
        <w:t>˗</w:t>
      </w:r>
      <w:r>
        <w:tab/>
        <w:t xml:space="preserve">kontrole ispitivanja kvalitete hitnih radova. </w:t>
      </w:r>
    </w:p>
    <w:p w:rsidR="00895DD6" w:rsidRDefault="00F31687">
      <w:r>
        <w:t>5.</w:t>
      </w:r>
      <w:r>
        <w:tab/>
        <w:t>Projekt „Priprema projekata i ostale projektne dokumentacije za rekonstrukciju i obnovu željezničke pruge na dionici Dugo Selo - Novska, faza 2 i 3“ u ukupnom iznos</w:t>
      </w:r>
      <w:r>
        <w:t xml:space="preserve">u od 3.780.112,63 EUR za sljedeće namjene: </w:t>
      </w:r>
    </w:p>
    <w:p w:rsidR="00895DD6" w:rsidRDefault="00F31687">
      <w:r>
        <w:t>˗</w:t>
      </w:r>
      <w:r>
        <w:tab/>
        <w:t xml:space="preserve">rješavanje imovinsko-pravnih odnosa </w:t>
      </w:r>
    </w:p>
    <w:p w:rsidR="00895DD6" w:rsidRDefault="00F31687">
      <w:r>
        <w:t>˗</w:t>
      </w:r>
      <w:r>
        <w:tab/>
        <w:t xml:space="preserve">plaćanje pristojbi </w:t>
      </w:r>
    </w:p>
    <w:p w:rsidR="00895DD6" w:rsidRDefault="00F31687">
      <w:r>
        <w:t>˗</w:t>
      </w:r>
      <w:r>
        <w:tab/>
        <w:t xml:space="preserve">troškove vještačenja </w:t>
      </w:r>
    </w:p>
    <w:p w:rsidR="00895DD6" w:rsidRDefault="00F31687">
      <w:r>
        <w:t>˗</w:t>
      </w:r>
      <w:r>
        <w:tab/>
        <w:t xml:space="preserve">javnobilježničke usluge. </w:t>
      </w:r>
    </w:p>
    <w:p w:rsidR="00895DD6" w:rsidRDefault="00F31687">
      <w:r>
        <w:t>6.</w:t>
      </w:r>
      <w:r>
        <w:tab/>
        <w:t xml:space="preserve">Projekt „Izrada projektne i ostale dokumentacije za izgradnju drugog kolosijeka, modernizaciju i obnovu na dionici željezničke pruge Škrljevo - Rijeka – Jurdani“ u ukupnom iznosu od 604.615,61 EUR za sljedeće namjene: </w:t>
      </w:r>
    </w:p>
    <w:p w:rsidR="00895DD6" w:rsidRDefault="00F31687">
      <w:r>
        <w:t>˗</w:t>
      </w:r>
      <w:r>
        <w:tab/>
        <w:t xml:space="preserve">izradu projektne dokumentacije </w:t>
      </w:r>
    </w:p>
    <w:p w:rsidR="00895DD6" w:rsidRDefault="00F31687">
      <w:r>
        <w:t>˗</w:t>
      </w:r>
      <w:r>
        <w:tab/>
        <w:t xml:space="preserve">rješavanje imovinsko-pravnih odnosa </w:t>
      </w:r>
    </w:p>
    <w:p w:rsidR="00895DD6" w:rsidRDefault="00F31687">
      <w:r>
        <w:t>˗</w:t>
      </w:r>
      <w:r>
        <w:tab/>
        <w:t xml:space="preserve">troškove pristojbi </w:t>
      </w:r>
    </w:p>
    <w:p w:rsidR="00895DD6" w:rsidRDefault="00F31687">
      <w:r>
        <w:t>˗</w:t>
      </w:r>
      <w:r>
        <w:tab/>
        <w:t xml:space="preserve">troškove vještačenja </w:t>
      </w:r>
    </w:p>
    <w:p w:rsidR="00895DD6" w:rsidRDefault="00F31687">
      <w:r>
        <w:t>˗</w:t>
      </w:r>
      <w:r>
        <w:tab/>
        <w:t xml:space="preserve">javnobilježničke usluge. </w:t>
      </w:r>
    </w:p>
    <w:p w:rsidR="00895DD6" w:rsidRDefault="00F31687">
      <w:r>
        <w:t>7.</w:t>
      </w:r>
      <w:r>
        <w:tab/>
        <w:t xml:space="preserve">Projekt „Osiguranja i modernizacije željezničko-cestovnih prijelaza“ u ukupnom iznosu od 428,90 EUR za sljedeće namjene: </w:t>
      </w:r>
    </w:p>
    <w:p w:rsidR="00895DD6" w:rsidRDefault="00F31687">
      <w:r>
        <w:t>˗</w:t>
      </w:r>
      <w:r>
        <w:tab/>
        <w:t>troškove vještač</w:t>
      </w:r>
      <w:r>
        <w:t xml:space="preserve">enja </w:t>
      </w:r>
    </w:p>
    <w:p w:rsidR="00895DD6" w:rsidRDefault="00F31687">
      <w:r>
        <w:t>˗</w:t>
      </w:r>
      <w:r>
        <w:tab/>
        <w:t xml:space="preserve">naknade za koncesiju </w:t>
      </w:r>
    </w:p>
    <w:p w:rsidR="00895DD6" w:rsidRDefault="00F31687">
      <w:r>
        <w:lastRenderedPageBreak/>
        <w:t>˗</w:t>
      </w:r>
      <w:r>
        <w:tab/>
        <w:t xml:space="preserve">pravo služnosti </w:t>
      </w:r>
    </w:p>
    <w:p w:rsidR="00895DD6" w:rsidRDefault="00F31687">
      <w:r>
        <w:t>˗</w:t>
      </w:r>
      <w:r>
        <w:tab/>
        <w:t xml:space="preserve">javnobilježničke usluge i ostalo. </w:t>
      </w:r>
    </w:p>
    <w:p w:rsidR="00895DD6" w:rsidRDefault="00F31687">
      <w:r>
        <w:t>8.</w:t>
      </w:r>
      <w:r>
        <w:tab/>
        <w:t>Projekt „Izrada studijske i projektne dokumentacije željezničke pruge M202 Zagreb GK -  Rijeka, dionica Karlovac - Oštarije“ “ u ukupnom iznosu od 451,26 EUR za troško</w:t>
      </w:r>
      <w:r>
        <w:t xml:space="preserve">ve radnika. </w:t>
      </w:r>
    </w:p>
    <w:p w:rsidR="00895DD6" w:rsidRDefault="00F31687">
      <w:r>
        <w:t xml:space="preserve">Za određene projekte za koje se očekivala realizacija tijekom 2025. godine i koji su navedeni u Ugovoru br. 1/2025/HŽI o financiranju investicijskih projekata i njegovim dodacima, nije došlo do realizacije u 2025. godini iz sljedećih razloga: </w:t>
      </w:r>
    </w:p>
    <w:p w:rsidR="00895DD6" w:rsidRDefault="00F31687">
      <w:r>
        <w:t>1.</w:t>
      </w:r>
      <w:r>
        <w:tab/>
        <w:t xml:space="preserve">Projekt „Izgradnja nove željezničke pruge za prigradski promet na dionici Gradec – Sveti Ivan Žabno“ - tijekom 2025. g. nije bilo troškova te slijedno ni doznake sredstava za navedeni projekt. </w:t>
      </w:r>
    </w:p>
    <w:p w:rsidR="00895DD6" w:rsidRDefault="00F31687">
      <w:r>
        <w:t>2.</w:t>
      </w:r>
      <w:r>
        <w:tab/>
        <w:t>Projekt „Rekonstrukcija postojećeg i izgradnja drugog k</w:t>
      </w:r>
      <w:r>
        <w:t>olosijeka na dionici Hrvatski Leskovac – Karlovac na željezničkoj pruzi M202 Zagreb GK –  Rijeka“ – razlozi neizvršenja planiranih sredstava proizlaze iz dugotrajnog postupka javne nabave za radove, koji je još uvijek u tijeku. Dinamika provedbe projekta i</w:t>
      </w:r>
      <w:r>
        <w:t xml:space="preserve"> pripadajuća financijska realizacija prenose se u slijedeće proračunsko razdoblje. </w:t>
      </w:r>
    </w:p>
    <w:p w:rsidR="00895DD6" w:rsidRDefault="00F31687">
      <w:r>
        <w:t>3.</w:t>
      </w:r>
      <w:r>
        <w:tab/>
        <w:t>Projekt „Rekonstrukcija  postojećeg  i izgradnja drugog kolosijeka željezničke pruge Dugo Selo  –  Novska“ – Razlozi neizvršenja planiranih sredstava odnose se na kašnje</w:t>
      </w:r>
      <w:r>
        <w:t>nje u izradi projektne dokumentacije od strane projektanata, što je utjecalo na planiranu dinamiku realizacije aktivnosti. Slijedom navedenog dio nije mogao biti izvršen u tekućoj proračunskoj godini, već je dinamika plaćanja prenesena u slijedeće proračun</w:t>
      </w:r>
      <w:r>
        <w:t xml:space="preserve">sko razdoblje. </w:t>
      </w:r>
    </w:p>
    <w:p w:rsidR="00895DD6" w:rsidRDefault="00F31687">
      <w:r>
        <w:t>4.</w:t>
      </w:r>
      <w:r>
        <w:tab/>
        <w:t xml:space="preserve">Projekt „Povezivanje željeznicom unutar funkcionalne regije Središnje Hrvatske Lepoglavska spojnica“ – tijekom 2025. g. nije bilo troškova te slijedno ni doznake sredstava za navedeni projekt. </w:t>
      </w:r>
    </w:p>
    <w:p w:rsidR="00895DD6" w:rsidRDefault="00F31687">
      <w:r>
        <w:t>5.</w:t>
      </w:r>
      <w:r>
        <w:tab/>
        <w:t>Projekt razvoja baterijskih vlakova (nos</w:t>
      </w:r>
      <w:r>
        <w:t xml:space="preserve">itelj društvo HŽ Putnički prijevoz d.o.o.) - tijekom 2025. g. nije bilo troškova te slijedno ni doznake sredstava za navedeni projekt. </w:t>
      </w:r>
    </w:p>
    <w:p w:rsidR="00895DD6" w:rsidRDefault="00F31687">
      <w:r>
        <w:t xml:space="preserve">Pokazatelji za 2025. godinu nisu ostvareni na razini ciljanih vrijednosti.  </w:t>
      </w:r>
    </w:p>
    <w:p w:rsidR="00895DD6" w:rsidRDefault="00F31687">
      <w:r>
        <w:t>Vezano za pokazatelj rezultata izrađene teh</w:t>
      </w:r>
      <w:r>
        <w:t>ničke dokumentacije došlo je do promjene dinamike u finalizaciji izrade projektne dokumentacije na sljedećim projektima: „Priprema projekata i ostale projektne dokumentacije za rekonstrukciju i obnovu željezničke pruge na dionici Dugo Selo - Novska, faza 2</w:t>
      </w:r>
      <w:r>
        <w:t xml:space="preserve"> i 3“ i „Izrada projektne i ostale dokumentacije za izgradnju drugog kolosijeka, modernizaciju i obnovu na dionici željezničke pruge Škrljevo - Rijeka – Jurdani“. </w:t>
      </w:r>
    </w:p>
    <w:p w:rsidR="00895DD6" w:rsidRDefault="00F31687">
      <w:r>
        <w:t>Za pokazatelj rezultata izvedeni radovi na željezničkim prugama također je došlo do odstupan</w:t>
      </w:r>
      <w:r>
        <w:t>ja od planiranih vrijednosti pokazatelja. Tijekom 2025. godine došlo do promjene u dinamici izvedbe radova kod Projekta „Rekonstrukcija postojećeg i izgradnja drugog kolosijeka željezničke pruge na dionici Dugo Selo - Križevci“  ciljano te je novi rok za z</w:t>
      </w:r>
      <w:r>
        <w:t xml:space="preserve">avršetak radova 3. travnja 2026. godine. </w:t>
      </w:r>
    </w:p>
    <w:p w:rsidR="00895DD6" w:rsidRDefault="00F31687">
      <w:r>
        <w:t xml:space="preserve">Za pokazatelj rezultata izvedeni radovi na željezničko-cestovnim prijelazima tijekom 2025. godine došlo je do odstupanja od planiranih vrijednosti pokazatelja zbog dugotrajnih postupaka ishođenja uporabnih dozvola </w:t>
      </w:r>
      <w:r>
        <w:t>u pojedinim županijama.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Izrađena tehnička dokumentacija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Pripremljena tehnička dokumentacija u cilju osiguranja za apliciranje na pozive za sufinanciranje iz EU sredstava radi daljnjeg nastavka projekta i izvođenja radova za poboljšanja i modernizacije željezničke infrastrukture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2</w:t>
            </w:r>
          </w:p>
        </w:tc>
        <w:tc>
          <w:tcPr>
            <w:tcW w:w="1020" w:type="dxa"/>
          </w:tcPr>
          <w:p w:rsidR="00895DD6" w:rsidRDefault="00895DD6">
            <w:pPr>
              <w:jc w:val="left"/>
            </w:pPr>
          </w:p>
        </w:tc>
      </w:tr>
      <w:tr w:rsidR="00895DD6">
        <w:trPr>
          <w:jc w:val="center"/>
        </w:trPr>
        <w:tc>
          <w:tcPr>
            <w:tcW w:w="2551" w:type="dxa"/>
          </w:tcPr>
          <w:p w:rsidR="00895DD6" w:rsidRDefault="00F31687">
            <w:pPr>
              <w:pStyle w:val="CellColumn"/>
              <w:jc w:val="left"/>
            </w:pPr>
            <w:r>
              <w:rPr>
                <w:rFonts w:cs="Times New Roman"/>
              </w:rPr>
              <w:lastRenderedPageBreak/>
              <w:t xml:space="preserve">Izvedeni radovi na željezničkim prugama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Izvedeni radovi za modernizaciju, rekonstrukciju i izgradnju željezničke pruge i unaprijeđenje željezničke infrastrukture</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42,6</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38,2</w:t>
            </w:r>
          </w:p>
        </w:tc>
        <w:tc>
          <w:tcPr>
            <w:tcW w:w="1020" w:type="dxa"/>
          </w:tcPr>
          <w:p w:rsidR="00895DD6" w:rsidRDefault="00F31687">
            <w:pPr>
              <w:pStyle w:val="CellColumn"/>
              <w:jc w:val="right"/>
            </w:pPr>
            <w:r>
              <w:rPr>
                <w:rFonts w:cs="Times New Roman"/>
              </w:rPr>
              <w:t>16,50</w:t>
            </w:r>
          </w:p>
        </w:tc>
      </w:tr>
      <w:tr w:rsidR="00895DD6">
        <w:trPr>
          <w:jc w:val="center"/>
        </w:trPr>
        <w:tc>
          <w:tcPr>
            <w:tcW w:w="2551" w:type="dxa"/>
          </w:tcPr>
          <w:p w:rsidR="00895DD6" w:rsidRDefault="00F31687">
            <w:pPr>
              <w:pStyle w:val="CellColumn"/>
              <w:jc w:val="left"/>
            </w:pPr>
            <w:r>
              <w:rPr>
                <w:rFonts w:cs="Times New Roman"/>
              </w:rPr>
              <w:t>Izvedeni radovi na željezničko-cestovnim prijel</w:t>
            </w:r>
            <w:r>
              <w:rPr>
                <w:rFonts w:cs="Times New Roman"/>
              </w:rPr>
              <w:t xml:space="preserve">azima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Osigurani i modernizirani željezničko-cestovni prijelazi automatskim elektroničkim signalno-sigurnosnim uređajima na prugama za međunarodni, regionalni i lokalni promet</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27</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40</w:t>
            </w:r>
          </w:p>
        </w:tc>
        <w:tc>
          <w:tcPr>
            <w:tcW w:w="1020" w:type="dxa"/>
          </w:tcPr>
          <w:p w:rsidR="00895DD6" w:rsidRDefault="00F31687">
            <w:pPr>
              <w:pStyle w:val="CellColumn"/>
              <w:jc w:val="right"/>
            </w:pPr>
            <w:r>
              <w:rPr>
                <w:rFonts w:cs="Times New Roman"/>
              </w:rPr>
              <w:t>35</w:t>
            </w:r>
          </w:p>
        </w:tc>
      </w:tr>
    </w:tbl>
    <w:p w:rsidR="00895DD6" w:rsidRDefault="00895DD6">
      <w:pPr>
        <w:jc w:val="left"/>
      </w:pPr>
    </w:p>
    <w:p w:rsidR="00895DD6" w:rsidRDefault="00F31687">
      <w:pPr>
        <w:pStyle w:val="Heading4"/>
      </w:pPr>
      <w:r>
        <w:t>T754048 POTPORA U PROVEDBI CEF PROJEKATA ŽELJEZNIČKOG SEKTORA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T754048-POTPORA U PROVEDBI CEF PROJEKATA ŽELJEZNIČKO</w:t>
            </w:r>
            <w:r>
              <w:rPr>
                <w:rFonts w:cs="Times New Roman"/>
              </w:rPr>
              <w:t>G SEKTORA</w:t>
            </w:r>
          </w:p>
        </w:tc>
        <w:tc>
          <w:tcPr>
            <w:tcW w:w="2041" w:type="dxa"/>
          </w:tcPr>
          <w:p w:rsidR="00895DD6" w:rsidRDefault="00F31687">
            <w:pPr>
              <w:pStyle w:val="CellColumn"/>
              <w:jc w:val="right"/>
            </w:pPr>
            <w:r>
              <w:rPr>
                <w:rFonts w:cs="Times New Roman"/>
              </w:rPr>
              <w:t>21.397.296</w:t>
            </w:r>
          </w:p>
        </w:tc>
        <w:tc>
          <w:tcPr>
            <w:tcW w:w="2041" w:type="dxa"/>
          </w:tcPr>
          <w:p w:rsidR="00895DD6" w:rsidRDefault="00F31687">
            <w:pPr>
              <w:pStyle w:val="CellColumn"/>
              <w:jc w:val="right"/>
            </w:pPr>
            <w:r>
              <w:rPr>
                <w:rFonts w:cs="Times New Roman"/>
              </w:rPr>
              <w:t>18.718.040</w:t>
            </w:r>
          </w:p>
        </w:tc>
        <w:tc>
          <w:tcPr>
            <w:tcW w:w="2041" w:type="dxa"/>
          </w:tcPr>
          <w:p w:rsidR="00895DD6" w:rsidRDefault="00F31687">
            <w:pPr>
              <w:pStyle w:val="CellColumn"/>
              <w:jc w:val="right"/>
            </w:pPr>
            <w:r>
              <w:rPr>
                <w:rFonts w:cs="Times New Roman"/>
              </w:rPr>
              <w:t>18.690.990</w:t>
            </w:r>
          </w:p>
        </w:tc>
        <w:tc>
          <w:tcPr>
            <w:tcW w:w="1224" w:type="dxa"/>
          </w:tcPr>
          <w:p w:rsidR="00895DD6" w:rsidRDefault="00F31687">
            <w:pPr>
              <w:pStyle w:val="CellColumn"/>
              <w:jc w:val="right"/>
            </w:pPr>
            <w:r>
              <w:rPr>
                <w:rFonts w:cs="Times New Roman"/>
              </w:rPr>
              <w:t>99,9</w:t>
            </w:r>
          </w:p>
        </w:tc>
        <w:tc>
          <w:tcPr>
            <w:tcW w:w="1224" w:type="dxa"/>
          </w:tcPr>
          <w:p w:rsidR="00895DD6" w:rsidRDefault="00F31687">
            <w:pPr>
              <w:pStyle w:val="CellColumn"/>
              <w:jc w:val="right"/>
            </w:pPr>
            <w:r>
              <w:rPr>
                <w:rFonts w:cs="Times New Roman"/>
              </w:rPr>
              <w:t>87,4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18.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(NRS 2030.)  </w:t>
      </w:r>
    </w:p>
    <w:p w:rsidR="00895DD6" w:rsidRDefault="00F31687">
      <w:r>
        <w:t xml:space="preserve">- Nacionalni program reformi (NPRR 2020.)  </w:t>
      </w:r>
    </w:p>
    <w:p w:rsidR="00895DD6" w:rsidRDefault="00F31687">
      <w:r>
        <w:t xml:space="preserve">- Zakon o sustavu strateškog planiranja i upravljanja razvojem Republike Hrvatske  </w:t>
      </w:r>
    </w:p>
    <w:p w:rsidR="00895DD6" w:rsidRDefault="00F31687">
      <w:r>
        <w:t>- Strategija razvoja željezničkog sustava Repu</w:t>
      </w:r>
      <w:r>
        <w:t xml:space="preserve">blike Hrvatske do 2032. godine  </w:t>
      </w:r>
    </w:p>
    <w:p w:rsidR="00895DD6" w:rsidRDefault="00F31687">
      <w:r>
        <w:t xml:space="preserve">- Nacionalni plan upravljanja željezničkom infrastrukturom i uslužnim objektima i razvoja    </w:t>
      </w:r>
    </w:p>
    <w:p w:rsidR="00895DD6" w:rsidRDefault="00F31687">
      <w:r>
        <w:t xml:space="preserve">   usluga željezničkog prijevoza za razdoblje do 2030. godine  </w:t>
      </w:r>
    </w:p>
    <w:p w:rsidR="00895DD6" w:rsidRDefault="00F31687">
      <w:r>
        <w:t>- Nacionalni plan razvoja željezničke infrastrukture za razdoblje</w:t>
      </w:r>
      <w:r>
        <w:t xml:space="preserve"> do 2030. godine  </w:t>
      </w:r>
    </w:p>
    <w:p w:rsidR="00895DD6" w:rsidRDefault="00F31687">
      <w:r>
        <w:t xml:space="preserve">- Program rješavanja željezničko-cestovnih i pješačkih prijelaza preko pruge za razdoblje od    </w:t>
      </w:r>
    </w:p>
    <w:p w:rsidR="00895DD6" w:rsidRDefault="00F31687">
      <w:r>
        <w:t xml:space="preserve">   2023. do 2027. godine  </w:t>
      </w:r>
    </w:p>
    <w:p w:rsidR="00895DD6" w:rsidRDefault="00F31687">
      <w:r>
        <w:t xml:space="preserve">- Sporazum o dodjeli bespovratnih sredstava br. INEA/CEF/TRAN/M2016/1366913 za projekt „Izrada tehničke dokumentacije za modernizaciju željezničke dionice Oštarije - Škrljevo“   </w:t>
      </w:r>
    </w:p>
    <w:p w:rsidR="00895DD6" w:rsidRDefault="00F31687">
      <w:r>
        <w:t>- Sporazum o dodjeli bespovratnih sredstava br. INEA/CEF/TRAN/M2015/1126931 z</w:t>
      </w:r>
      <w:r>
        <w:t xml:space="preserve">a projekt „Rekonstrukcija postojećeg i izgradnja drugog kolosijeka željezničke pruge na dionici Križevci - Koprivnica - državna granica“   </w:t>
      </w:r>
    </w:p>
    <w:p w:rsidR="00895DD6" w:rsidRDefault="00F31687">
      <w:r>
        <w:t>- Sporazum o dodjeli bespovratnih sredstava br. INEA/CEF/TRAN/M2016/1365734 za projekt „Izrada projektne dokumentaci</w:t>
      </w:r>
      <w:r>
        <w:t xml:space="preserve">je za modernizaciju željezničke dionice Okučani - Vinkovci“   </w:t>
      </w:r>
    </w:p>
    <w:p w:rsidR="00895DD6" w:rsidRDefault="00F31687">
      <w:r>
        <w:t>- Sporazum o dodjeli bespovratnih sredstava br. INEA/CEF/TRAN/M2019/2097375 za projekt „Poboljšanje željezničke infrastrukture - uspostava sustava praćenja za sigurnost, osiguranje i tehničke k</w:t>
      </w:r>
      <w:r>
        <w:t xml:space="preserve">ontrole“   </w:t>
      </w:r>
    </w:p>
    <w:p w:rsidR="00895DD6" w:rsidRDefault="00F31687">
      <w:r>
        <w:lastRenderedPageBreak/>
        <w:t xml:space="preserve">- Sporazum o dodjeli bespovratnih sredstava br. INEA/CEF/TRAN/M2020/2440898 za projekt „Modernizacija željezničke pruge na dionici Zagreb Glavni kolodvor - Hrvatski Leskovac - izrada dokumentacije“   </w:t>
      </w:r>
    </w:p>
    <w:p w:rsidR="00895DD6" w:rsidRDefault="00F31687">
      <w:r>
        <w:t>- Sporazum o dodjeli bespovratnih sredstava</w:t>
      </w:r>
      <w:r>
        <w:t xml:space="preserve"> Projekt 101122629-22-HR-TC-SKRKRTI za Projekt „Izrada idejnog projekta za novu dvokolosiječnu željezničku prugu na dionici Skradnik - Krasica - Tijani“  </w:t>
      </w:r>
    </w:p>
    <w:p w:rsidR="00895DD6" w:rsidRDefault="00F31687">
      <w:r>
        <w:t>- Sporazum o dodjeli bespovratnih sredstava Projekt 101122716-22-HR-TC-DSNOV za Projekt „Rekonstrukci</w:t>
      </w:r>
      <w:r>
        <w:t>ja  postojećeg i izgradnja drugog kolosijeka željezničke pruge Dugo Selo - Novska na dionici Ivanić Grad - Kutina</w:t>
      </w:r>
    </w:p>
    <w:p w:rsidR="00895DD6" w:rsidRDefault="00F31687">
      <w:pPr>
        <w:pStyle w:val="Heading8"/>
        <w:jc w:val="left"/>
      </w:pPr>
      <w:r>
        <w:t>Opis aktivnosti</w:t>
      </w:r>
    </w:p>
    <w:p w:rsidR="00895DD6" w:rsidRDefault="00F31687">
      <w:r>
        <w:t>Tijekom 2025. godine doznačena proračunska sredstva društvu HŽ INFRASTRUKTURI d.o.o. u ukupnom iznosu od 18.690.990,37 EUR utr</w:t>
      </w:r>
      <w:r>
        <w:t xml:space="preserve">ošena su za:  </w:t>
      </w:r>
    </w:p>
    <w:p w:rsidR="00895DD6" w:rsidRDefault="00F31687">
      <w:r>
        <w:t>1.</w:t>
      </w:r>
      <w:r>
        <w:tab/>
        <w:t xml:space="preserve">Projekt "Rekonstrukcija postojećeg i izgradnja drugog kolosijeka na dionici Križevci - Koprivnici - DG" u ukupnom iznosu od 16.775.624,42 EUR za sljedeće namjene:  </w:t>
      </w:r>
    </w:p>
    <w:p w:rsidR="00895DD6" w:rsidRDefault="00F31687">
      <w:r>
        <w:t>˗</w:t>
      </w:r>
      <w:r>
        <w:tab/>
        <w:t xml:space="preserve">izvođenje radova na projektu  </w:t>
      </w:r>
    </w:p>
    <w:p w:rsidR="00895DD6" w:rsidRDefault="00F31687">
      <w:r>
        <w:t>˗</w:t>
      </w:r>
      <w:r>
        <w:tab/>
        <w:t xml:space="preserve">uslugu nadzora nad izvođenjem radova na projektu </w:t>
      </w:r>
    </w:p>
    <w:p w:rsidR="00895DD6" w:rsidRDefault="00F31687">
      <w:r>
        <w:t>˗</w:t>
      </w:r>
      <w:r>
        <w:tab/>
        <w:t xml:space="preserve">financiranje utvrđene razlike u cijeni radova na projektu </w:t>
      </w:r>
    </w:p>
    <w:p w:rsidR="00895DD6" w:rsidRDefault="00F31687">
      <w:r>
        <w:t>˗</w:t>
      </w:r>
      <w:r>
        <w:tab/>
        <w:t xml:space="preserve">izradu tehničke dokumentacije </w:t>
      </w:r>
    </w:p>
    <w:p w:rsidR="00895DD6" w:rsidRDefault="00F31687">
      <w:r>
        <w:t>˗</w:t>
      </w:r>
      <w:r>
        <w:tab/>
        <w:t xml:space="preserve">rješavanje imovinsko-pravnih odnosa </w:t>
      </w:r>
    </w:p>
    <w:p w:rsidR="00895DD6" w:rsidRDefault="00F31687">
      <w:r>
        <w:t>˗</w:t>
      </w:r>
      <w:r>
        <w:tab/>
        <w:t xml:space="preserve">troškove VRS </w:t>
      </w:r>
    </w:p>
    <w:p w:rsidR="00895DD6" w:rsidRDefault="00F31687">
      <w:r>
        <w:t>˗</w:t>
      </w:r>
      <w:r>
        <w:tab/>
        <w:t xml:space="preserve">troškove električne energije </w:t>
      </w:r>
    </w:p>
    <w:p w:rsidR="00895DD6" w:rsidRDefault="00F31687">
      <w:r>
        <w:t>˗</w:t>
      </w:r>
      <w:r>
        <w:tab/>
        <w:t xml:space="preserve">troškove pristojbi </w:t>
      </w:r>
    </w:p>
    <w:p w:rsidR="00895DD6" w:rsidRDefault="00F31687">
      <w:r>
        <w:t>˗</w:t>
      </w:r>
      <w:r>
        <w:tab/>
        <w:t xml:space="preserve">troškove vještačenja </w:t>
      </w:r>
    </w:p>
    <w:p w:rsidR="00895DD6" w:rsidRDefault="00F31687">
      <w:r>
        <w:t>˗</w:t>
      </w:r>
      <w:r>
        <w:tab/>
        <w:t xml:space="preserve">troškovi tehničkog pregleda </w:t>
      </w:r>
    </w:p>
    <w:p w:rsidR="00895DD6" w:rsidRDefault="00F31687">
      <w:r>
        <w:t>˗</w:t>
      </w:r>
      <w:r>
        <w:tab/>
        <w:t xml:space="preserve">troškove postavljanja privremene prometne signalizacije </w:t>
      </w:r>
    </w:p>
    <w:p w:rsidR="00895DD6" w:rsidRDefault="00F31687">
      <w:r>
        <w:t>˗</w:t>
      </w:r>
      <w:r>
        <w:tab/>
        <w:t>troškove financiranja revolving kredita (kamate) čija je namjena financiranje projekata iz CEF programa s ciljem održavanja dinamike ispunjen</w:t>
      </w:r>
      <w:r>
        <w:t xml:space="preserve">ja financijskih obveza prema izvođačima na projektu „Rekonstrukcija postojećeg i izgradnja drugog kolosijeka na dionici Križevci – Koprivnica – dg“ a vezano za dinamiku priljeva EU sredstava </w:t>
      </w:r>
    </w:p>
    <w:p w:rsidR="00895DD6" w:rsidRDefault="00F31687">
      <w:r>
        <w:t>˗</w:t>
      </w:r>
      <w:r>
        <w:tab/>
        <w:t xml:space="preserve">javnobilježničke i odvjetničke usluge </w:t>
      </w:r>
    </w:p>
    <w:p w:rsidR="00895DD6" w:rsidRDefault="00F31687">
      <w:r>
        <w:t>˗</w:t>
      </w:r>
      <w:r>
        <w:tab/>
        <w:t xml:space="preserve">leasing vozila </w:t>
      </w:r>
    </w:p>
    <w:p w:rsidR="00895DD6" w:rsidRDefault="00F31687">
      <w:r>
        <w:t>˗</w:t>
      </w:r>
      <w:r>
        <w:tab/>
        <w:t>int</w:t>
      </w:r>
      <w:r>
        <w:t xml:space="preserve">erne plaće radnika na projektu </w:t>
      </w:r>
    </w:p>
    <w:p w:rsidR="00895DD6" w:rsidRDefault="00F31687">
      <w:r>
        <w:t>˗</w:t>
      </w:r>
      <w:r>
        <w:tab/>
        <w:t xml:space="preserve">promidžbu i vidljivost na projektu i ostalo.  </w:t>
      </w:r>
    </w:p>
    <w:p w:rsidR="00895DD6" w:rsidRDefault="00F31687">
      <w:r>
        <w:t>2.</w:t>
      </w:r>
      <w:r>
        <w:tab/>
        <w:t xml:space="preserve">Projekt "Izrada projektne dokumentacije za rekonstrukciju željezničke dionice Okučani-Vinkovci" u ukupnom iznosu od 252.658,10 EUR za sljedeće namjene:  </w:t>
      </w:r>
    </w:p>
    <w:p w:rsidR="00895DD6" w:rsidRDefault="00F31687">
      <w:r>
        <w:t>˗</w:t>
      </w:r>
      <w:r>
        <w:tab/>
        <w:t xml:space="preserve">izradu tehničke </w:t>
      </w:r>
      <w:r>
        <w:t xml:space="preserve">dokumentacije za projekt </w:t>
      </w:r>
    </w:p>
    <w:p w:rsidR="00895DD6" w:rsidRDefault="00F31687">
      <w:r>
        <w:t>˗</w:t>
      </w:r>
      <w:r>
        <w:tab/>
        <w:t xml:space="preserve">troškove pristojbi </w:t>
      </w:r>
    </w:p>
    <w:p w:rsidR="00895DD6" w:rsidRDefault="00F31687">
      <w:r>
        <w:t>˗</w:t>
      </w:r>
      <w:r>
        <w:tab/>
        <w:t xml:space="preserve">troškove priključka električne energije </w:t>
      </w:r>
    </w:p>
    <w:p w:rsidR="00895DD6" w:rsidRDefault="00F31687">
      <w:r>
        <w:t>˗</w:t>
      </w:r>
      <w:r>
        <w:tab/>
        <w:t xml:space="preserve">usluga ocjene suglasnosti u funkciji prijavljenog tijela (NoBo) za građevinski infrastrukturni podsustav </w:t>
      </w:r>
    </w:p>
    <w:p w:rsidR="00895DD6" w:rsidRDefault="00F31687">
      <w:r>
        <w:t>˗</w:t>
      </w:r>
      <w:r>
        <w:tab/>
        <w:t xml:space="preserve">promidžbu i vidljivost na projektu. </w:t>
      </w:r>
    </w:p>
    <w:p w:rsidR="00895DD6" w:rsidRDefault="00F31687">
      <w:r>
        <w:t>3.</w:t>
      </w:r>
      <w:r>
        <w:tab/>
        <w:t>Projekt "Izrada</w:t>
      </w:r>
      <w:r>
        <w:t xml:space="preserve"> idejnog projekta za novu dvokolosiječnu željezničku prugu na dionici Skradnik – Krasica – Tijani" u ukupnom iznosu od 160.421,59 EUR za sljedeće namjene:  </w:t>
      </w:r>
    </w:p>
    <w:p w:rsidR="00895DD6" w:rsidRDefault="00F31687">
      <w:r>
        <w:t>˗</w:t>
      </w:r>
      <w:r>
        <w:tab/>
        <w:t xml:space="preserve">izrada tehničke dokumentacije za projekt </w:t>
      </w:r>
    </w:p>
    <w:p w:rsidR="00895DD6" w:rsidRDefault="00F31687">
      <w:r>
        <w:t>˗</w:t>
      </w:r>
      <w:r>
        <w:tab/>
        <w:t xml:space="preserve">promidžbu i vidljivost na projektu </w:t>
      </w:r>
    </w:p>
    <w:p w:rsidR="00895DD6" w:rsidRDefault="00F31687">
      <w:r>
        <w:t>˗</w:t>
      </w:r>
      <w:r>
        <w:tab/>
        <w:t>interne plaće r</w:t>
      </w:r>
      <w:r>
        <w:t xml:space="preserve">adnika na projektu.  </w:t>
      </w:r>
    </w:p>
    <w:p w:rsidR="00895DD6" w:rsidRDefault="00F31687">
      <w:r>
        <w:lastRenderedPageBreak/>
        <w:t>4.</w:t>
      </w:r>
      <w:r>
        <w:tab/>
        <w:t xml:space="preserve">Projekt „Rekonstrukcija postojećeg i izgradnja drugog kolosijeka željezničke pruge Dugo Selo - Novska na dionici Ivanić Grad - Kutina“ u ukupnom iznosu od 115.692,48 EUR za sljedeće namjene: </w:t>
      </w:r>
    </w:p>
    <w:p w:rsidR="00895DD6" w:rsidRDefault="00F31687">
      <w:r>
        <w:t>˗</w:t>
      </w:r>
      <w:r>
        <w:tab/>
        <w:t xml:space="preserve">rješavanje imovinsko-pravnih odnosa  </w:t>
      </w:r>
      <w:r>
        <w:t xml:space="preserve"> </w:t>
      </w:r>
    </w:p>
    <w:p w:rsidR="00895DD6" w:rsidRDefault="00F31687">
      <w:r>
        <w:t>˗</w:t>
      </w:r>
      <w:r>
        <w:tab/>
        <w:t xml:space="preserve">troškove vještačenja </w:t>
      </w:r>
    </w:p>
    <w:p w:rsidR="00895DD6" w:rsidRDefault="00F31687">
      <w:r>
        <w:t>˗</w:t>
      </w:r>
      <w:r>
        <w:tab/>
        <w:t xml:space="preserve">javnobilježničke i odvjetničke usluge </w:t>
      </w:r>
    </w:p>
    <w:p w:rsidR="00895DD6" w:rsidRDefault="00F31687">
      <w:r>
        <w:t>˗</w:t>
      </w:r>
      <w:r>
        <w:tab/>
        <w:t xml:space="preserve">promidžbu i vidljivost na projektu </w:t>
      </w:r>
    </w:p>
    <w:p w:rsidR="00895DD6" w:rsidRDefault="00F31687">
      <w:r>
        <w:t>˗</w:t>
      </w:r>
      <w:r>
        <w:tab/>
        <w:t xml:space="preserve">interne plaće radnika na projektu. </w:t>
      </w:r>
    </w:p>
    <w:p w:rsidR="00895DD6" w:rsidRDefault="00F31687">
      <w:r>
        <w:t>5.</w:t>
      </w:r>
      <w:r>
        <w:tab/>
        <w:t xml:space="preserve">Projekt „Poboljšanje željezničke infrastrukture - uspostava sustava praćenja za sigurnost, osiguranje i tehničke kontrole“ u ukupnom iznosu od 1.379.472,22 EUR za sljedeće namjene: </w:t>
      </w:r>
    </w:p>
    <w:p w:rsidR="00895DD6" w:rsidRDefault="00F31687">
      <w:r>
        <w:t>˗</w:t>
      </w:r>
      <w:r>
        <w:tab/>
        <w:t xml:space="preserve">izvođenje radova na projektu </w:t>
      </w:r>
    </w:p>
    <w:p w:rsidR="00895DD6" w:rsidRDefault="00F31687">
      <w:r>
        <w:t>˗</w:t>
      </w:r>
      <w:r>
        <w:tab/>
        <w:t xml:space="preserve">troškove pristojbi </w:t>
      </w:r>
    </w:p>
    <w:p w:rsidR="00895DD6" w:rsidRDefault="00F31687">
      <w:r>
        <w:t>˗</w:t>
      </w:r>
      <w:r>
        <w:tab/>
        <w:t>troškove elektr</w:t>
      </w:r>
      <w:r>
        <w:t xml:space="preserve">ične energije </w:t>
      </w:r>
    </w:p>
    <w:p w:rsidR="00895DD6" w:rsidRDefault="00F31687">
      <w:r>
        <w:t>˗</w:t>
      </w:r>
      <w:r>
        <w:tab/>
        <w:t xml:space="preserve">troškove tehničkog pregleda. </w:t>
      </w:r>
    </w:p>
    <w:p w:rsidR="00895DD6" w:rsidRDefault="00F31687">
      <w:r>
        <w:t>6.</w:t>
      </w:r>
      <w:r>
        <w:tab/>
        <w:t xml:space="preserve">Projekt „Razvoj multimodalne platforme u luci Rijeka i povezivanje s kontejnerskim terminalom Jadranska vrata“ u ukupnom iznosu od 7.121,56 EUR za izvođenje radova na projektu. </w:t>
      </w:r>
    </w:p>
    <w:p w:rsidR="00895DD6" w:rsidRDefault="00F31687">
      <w:r>
        <w:t>Za određene projekte za koje</w:t>
      </w:r>
      <w:r>
        <w:t xml:space="preserve"> se očekivala realizacija tijekom 2025. godine i koji su navedeni u Ugovoru br. 1/2025/HŽI o financiranju investicijskih projekata i njegovim dodacima, nije došlo do realizacije u 2025. godini iz sljedećih razloga: </w:t>
      </w:r>
    </w:p>
    <w:p w:rsidR="00895DD6" w:rsidRDefault="00F31687">
      <w:r>
        <w:t>1.</w:t>
      </w:r>
      <w:r>
        <w:tab/>
        <w:t xml:space="preserve">Projekt „Izrada tehničke dokumentacije za modernizaciju željezničke dionice Oštarije – Škrljevo“  tijekom 2025. godine provodio se postupak procjene utjecaja zahvata na okoliš te nije bilo plaćanja po Ugovoru za izradu studijske dokumentacije. Ishođeno </w:t>
      </w:r>
      <w:r>
        <w:t xml:space="preserve">je Rješenje o prihvatljivosti zahvata za okoliš i okončan je Ugovor za izradu studijske dokumentacije te je zaprimljena okončana situacija za koju se povlačenje sredstava iz DP planira u 2026. godini. </w:t>
      </w:r>
    </w:p>
    <w:p w:rsidR="00895DD6" w:rsidRDefault="00F31687">
      <w:r>
        <w:t>2.</w:t>
      </w:r>
      <w:r>
        <w:tab/>
        <w:t>Kod projekta "Unapređenje infrastrukture u luci Rij</w:t>
      </w:r>
      <w:r>
        <w:t xml:space="preserve">eka-kontejnerski terminal Zagrebačko pristanište" tijekom 2025. g. nije bilo troškova te slijedno ni doznake sredstava za navedeni projekt. </w:t>
      </w:r>
    </w:p>
    <w:p w:rsidR="00895DD6" w:rsidRDefault="00F31687">
      <w:r>
        <w:t>3.</w:t>
      </w:r>
      <w:r>
        <w:tab/>
        <w:t>Projekt „Modernizacija željezničke pruge na dionici Zagreb Glavni kolodvor – Hrvatski Leskovac – izrada dokument</w:t>
      </w:r>
      <w:r>
        <w:t>acije“ tijekom 2025. godine nije bilo realizacije pa posljedično ni plaćanja budući da se čekalo očitovanje Grada Zagreba na poslana Idejna rješenja denivelacija željezničko-cestovnih prijelaza koje na kraju zaprimljeno sa obavijesti da su suglasni s prije</w:t>
      </w:r>
      <w:r>
        <w:t xml:space="preserve">dlogom denivelacija te je nastavljena izrada projektne dokumentacije.  </w:t>
      </w:r>
    </w:p>
    <w:p w:rsidR="00895DD6" w:rsidRDefault="00F31687">
      <w:r>
        <w:t xml:space="preserve">Obrazloženje odstupanja: </w:t>
      </w:r>
    </w:p>
    <w:p w:rsidR="00895DD6" w:rsidRDefault="00F31687">
      <w:r>
        <w:t>Pokazatelji za 2025. godinu nisu ostvareni na razini ciljanih vrijednosti. Vezano za pokazatelj rezultata izrađene tehničke dokumentacije došlo je do promjene</w:t>
      </w:r>
      <w:r>
        <w:t xml:space="preserve"> dinamike u finalizaciji izrade projektne dokumentacije na projektu „Modernizacija željezničke pruge na dionici Zagreb Glavni kolodvor – Hrvatski Leskovac – izrada dokumentacije“. </w:t>
      </w:r>
    </w:p>
    <w:p w:rsidR="00895DD6" w:rsidRDefault="00F31687">
      <w:r>
        <w:t>Za pokazatelj rezulata izvedeni radovi na željezničkim prugama također je d</w:t>
      </w:r>
      <w:r>
        <w:t xml:space="preserve">ošlo do manjih odstupanja od planiranih vrijenosti pokazatelja. Tijekom 2025. godine došlo do promjene u dinamici izvedbe radova kod Projekta "Rekonstrukcija postojećeg i izgradnja drugog kolosijeka na dionici Križevci - Koprivnici - DG".  </w:t>
      </w:r>
    </w:p>
    <w:p w:rsidR="00895DD6" w:rsidRDefault="00F31687">
      <w:r>
        <w:t>Ostvarenje vrij</w:t>
      </w:r>
      <w:r>
        <w:t>ednosti Broj ugrađenih mjernih stanica za 2025. godinu obuhvaća ugradnju 1 mjerne stanice (ugrađena oprema i završeni radovi). Do odstupanja od ciljane vrijednosti za 2025. godinu došlo je budući da radovi na mjernoj stanici Drnje nisu započeli već će zapo</w:t>
      </w:r>
      <w:r>
        <w:t>četi nakon dobivene uporabne dozvole na projektu "Rekonstrukcija postojećeg i izgradnja drugog kolosijeka na dionici Križevci - Koprivnici - DG"</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w:t>
            </w:r>
            <w:r>
              <w:rPr>
                <w:rFonts w:cs="Times New Roman"/>
              </w:rPr>
              <w:t>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 xml:space="preserve">Izrađena tehnička dokumentacija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Priprema tehničke dokumentacije u cilju osiguranja za apliciranje na pozive za sufinanciranje iz EU sredstava radi daljnjeg nastavka projekta i izvođenja radova za poboljšanje željezničke infrastrukture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0</w:t>
            </w:r>
          </w:p>
        </w:tc>
      </w:tr>
      <w:tr w:rsidR="00895DD6">
        <w:trPr>
          <w:jc w:val="center"/>
        </w:trPr>
        <w:tc>
          <w:tcPr>
            <w:tcW w:w="2551" w:type="dxa"/>
          </w:tcPr>
          <w:p w:rsidR="00895DD6" w:rsidRDefault="00F31687">
            <w:pPr>
              <w:pStyle w:val="CellColumn"/>
              <w:jc w:val="left"/>
            </w:pPr>
            <w:r>
              <w:rPr>
                <w:rFonts w:cs="Times New Roman"/>
              </w:rPr>
              <w:t xml:space="preserve">Izvedeni radovi na željezničkim prugama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Izvedeni radovi za modernizaciju, rekonstrukciju i izgradnju željezničke pruge i unaprjeđenje željezničke infrastrukture</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42,6</w:t>
            </w:r>
          </w:p>
        </w:tc>
        <w:tc>
          <w:tcPr>
            <w:tcW w:w="1020" w:type="dxa"/>
          </w:tcPr>
          <w:p w:rsidR="00895DD6" w:rsidRDefault="00F31687">
            <w:pPr>
              <w:pStyle w:val="CellColumn"/>
              <w:jc w:val="right"/>
            </w:pPr>
            <w:r>
              <w:rPr>
                <w:rFonts w:cs="Times New Roman"/>
              </w:rPr>
              <w:t>41,78</w:t>
            </w:r>
          </w:p>
        </w:tc>
      </w:tr>
      <w:tr w:rsidR="00895DD6">
        <w:trPr>
          <w:jc w:val="center"/>
        </w:trPr>
        <w:tc>
          <w:tcPr>
            <w:tcW w:w="2551" w:type="dxa"/>
          </w:tcPr>
          <w:p w:rsidR="00895DD6" w:rsidRDefault="00F31687">
            <w:pPr>
              <w:pStyle w:val="CellColumn"/>
              <w:jc w:val="left"/>
            </w:pPr>
            <w:r>
              <w:rPr>
                <w:rFonts w:cs="Times New Roman"/>
              </w:rPr>
              <w:t>Broj ugrađenih mjernim stanicama</w:t>
            </w:r>
          </w:p>
        </w:tc>
        <w:tc>
          <w:tcPr>
            <w:tcW w:w="2551" w:type="dxa"/>
          </w:tcPr>
          <w:p w:rsidR="00895DD6" w:rsidRDefault="00F31687">
            <w:pPr>
              <w:pStyle w:val="CellColumn"/>
              <w:jc w:val="left"/>
            </w:pPr>
            <w:r>
              <w:rPr>
                <w:rFonts w:cs="Times New Roman"/>
              </w:rPr>
              <w:t>Broj lokacija na p</w:t>
            </w:r>
            <w:r>
              <w:rPr>
                <w:rFonts w:cs="Times New Roman"/>
              </w:rPr>
              <w:t>rugama RH s ugrađenim mjernim stanicama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8</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4"/>
      </w:pPr>
      <w:r>
        <w:t>T754054 PRILAGODBA ŽELJEZNIČKIH GRANIČNIH PRIJELAZA ZA PROVEDBU SCHENGENSKE PRAVNE STEČEVINE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T754054-PRILAGODBA ŽELJEZNIČKIH GRANIČNIH PRIJELAZA ZA PROVEDBU SCHENGENSKE PRAVNE STEČEVINE</w:t>
            </w:r>
          </w:p>
        </w:tc>
        <w:tc>
          <w:tcPr>
            <w:tcW w:w="2041" w:type="dxa"/>
          </w:tcPr>
          <w:p w:rsidR="00895DD6" w:rsidRDefault="00F31687">
            <w:pPr>
              <w:pStyle w:val="CellColumn"/>
              <w:jc w:val="right"/>
            </w:pPr>
            <w:r>
              <w:rPr>
                <w:rFonts w:cs="Times New Roman"/>
              </w:rPr>
              <w:t>1.704.212</w:t>
            </w:r>
          </w:p>
        </w:tc>
        <w:tc>
          <w:tcPr>
            <w:tcW w:w="2041" w:type="dxa"/>
          </w:tcPr>
          <w:p w:rsidR="00895DD6" w:rsidRDefault="00F31687">
            <w:pPr>
              <w:pStyle w:val="CellColumn"/>
              <w:jc w:val="right"/>
            </w:pPr>
            <w:r>
              <w:rPr>
                <w:rFonts w:cs="Times New Roman"/>
              </w:rPr>
              <w:t>1.472.500</w:t>
            </w:r>
          </w:p>
        </w:tc>
        <w:tc>
          <w:tcPr>
            <w:tcW w:w="2041" w:type="dxa"/>
          </w:tcPr>
          <w:p w:rsidR="00895DD6" w:rsidRDefault="00F31687">
            <w:pPr>
              <w:pStyle w:val="CellColumn"/>
              <w:jc w:val="right"/>
            </w:pPr>
            <w:r>
              <w:rPr>
                <w:rFonts w:cs="Times New Roman"/>
              </w:rPr>
              <w:t>1.472.500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86,4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(NRS 2030.)  </w:t>
      </w:r>
    </w:p>
    <w:p w:rsidR="00895DD6" w:rsidRDefault="00F31687">
      <w:r>
        <w:t xml:space="preserve">- Zakon o sustavu strateškog planiranja i upravljanja razvojem Republike Hrvatske  </w:t>
      </w:r>
    </w:p>
    <w:p w:rsidR="00895DD6" w:rsidRDefault="00F31687">
      <w:r>
        <w:t>-</w:t>
      </w:r>
      <w:r>
        <w:t xml:space="preserve"> Strategija razvoja željezničkog sustava Republike Hrvatske do 2032. godine  </w:t>
      </w:r>
    </w:p>
    <w:p w:rsidR="00895DD6" w:rsidRDefault="00F31687">
      <w:r>
        <w:t xml:space="preserve">- Nacionalni plan upravljanja željezničkom infrastrukturom i uslužnim objektima i razvoja usluga željezničkog prijevoza za razdoblje do 2030. godine  </w:t>
      </w:r>
    </w:p>
    <w:p w:rsidR="00895DD6" w:rsidRDefault="00F31687">
      <w:r>
        <w:t>- Nacionalni plan razvoja ž</w:t>
      </w:r>
      <w:r>
        <w:t xml:space="preserve">eljezničke infrastrukture za razdoblje do 2030. godine  </w:t>
      </w:r>
    </w:p>
    <w:p w:rsidR="00895DD6" w:rsidRDefault="00F31687">
      <w:r>
        <w:t xml:space="preserve">- Strategija integriranog upravljanja granicom RH   </w:t>
      </w:r>
    </w:p>
    <w:p w:rsidR="00895DD6" w:rsidRDefault="00F31687">
      <w:r>
        <w:t xml:space="preserve">- Zakon o nadzoru državne granice   </w:t>
      </w:r>
    </w:p>
    <w:p w:rsidR="00895DD6" w:rsidRDefault="00F31687">
      <w:r>
        <w:t xml:space="preserve">- Uredba o graničnim prijelazima RH   </w:t>
      </w:r>
    </w:p>
    <w:p w:rsidR="00895DD6" w:rsidRDefault="00F31687">
      <w:r>
        <w:t>- Uredba o standardima koje moraju ispunjavati granični prijelazi za u</w:t>
      </w:r>
      <w:r>
        <w:t xml:space="preserve">činkovito i sigurno obavljanje granične kontrole   </w:t>
      </w:r>
    </w:p>
    <w:p w:rsidR="00895DD6" w:rsidRDefault="00F31687">
      <w:r>
        <w:t xml:space="preserve">- Uredba o graničnim prijelazima  </w:t>
      </w:r>
    </w:p>
    <w:p w:rsidR="00895DD6" w:rsidRDefault="00F31687">
      <w:r>
        <w:t>- Pojedinačna Rješenja o određivanju područja za svaki od graničnih prijelaza</w:t>
      </w:r>
    </w:p>
    <w:p w:rsidR="00895DD6" w:rsidRDefault="00F31687">
      <w:pPr>
        <w:pStyle w:val="Heading8"/>
        <w:jc w:val="left"/>
      </w:pPr>
      <w:r>
        <w:lastRenderedPageBreak/>
        <w:t>Opis aktivnosti</w:t>
      </w:r>
    </w:p>
    <w:p w:rsidR="00895DD6" w:rsidRDefault="00F31687">
      <w:r>
        <w:t>Tijekom 2025. godine doznačena proračunska sredstva društvu HŽ INFRASTRUKTU</w:t>
      </w:r>
      <w:r>
        <w:t xml:space="preserve">RI d.o.o. s u ukupnom iznosu od 1.472.500,00 EUR utrošena su za: </w:t>
      </w:r>
    </w:p>
    <w:p w:rsidR="00895DD6" w:rsidRDefault="00F31687">
      <w:r>
        <w:t>˗</w:t>
      </w:r>
      <w:r>
        <w:tab/>
        <w:t xml:space="preserve">izvođenje radova na projektu </w:t>
      </w:r>
    </w:p>
    <w:p w:rsidR="00895DD6" w:rsidRDefault="00F31687">
      <w:r>
        <w:t>˗</w:t>
      </w:r>
      <w:r>
        <w:tab/>
        <w:t xml:space="preserve">uslugu stručnog nadzora </w:t>
      </w:r>
    </w:p>
    <w:p w:rsidR="00895DD6" w:rsidRDefault="00F31687">
      <w:r>
        <w:t>˗</w:t>
      </w:r>
      <w:r>
        <w:tab/>
        <w:t xml:space="preserve">usluge ocjene suglasnosti građevinskog infrastrukturnog podsustava sa TSI od strane NoBo. </w:t>
      </w:r>
    </w:p>
    <w:p w:rsidR="00895DD6" w:rsidRDefault="00F31687">
      <w:r>
        <w:t>Do odstupanja ostvarene od ciljane vri</w:t>
      </w:r>
      <w:r>
        <w:t>jednosti pokazatelja za 2025. godinu je došlo je zbog promjene dinamike provedbe izvedbe radova za kolodvor Drenovci gdje je novi rok za završetak radova 28. veljače 2026. godine. Za kolodvor Slavonski Šamac su radovi završili 15. svibnja 2025. godine uz n</w:t>
      </w:r>
      <w:r>
        <w:t>apomenu da je za punu funkcionalnost još potrebno ishođenje uporabne dozvole.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Broj prilagođenih željezničkih graničnih prijelaza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Provedene privremene mjere prilagodbe željezničkih graničnih prijelaza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2</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T761086 POTPORA DRUŠTVU HŽ INFRASTRUKTURA ZA DOVRŠETAK PROJEKTA FINANCIRANOG IZ IBRD ZAJMA</w:t>
      </w:r>
    </w:p>
    <w:tbl>
      <w:tblPr>
        <w:tblStyle w:val="StilTablice"/>
        <w:tblW w:w="10206" w:type="dxa"/>
        <w:jc w:val="center"/>
        <w:tblLook w:val="04A0" w:firstRow="1" w:lastRow="0" w:firstColumn="1" w:lastColumn="0" w:noHBand="0" w:noVBand="1"/>
      </w:tblPr>
      <w:tblGrid>
        <w:gridCol w:w="1916"/>
        <w:gridCol w:w="1959"/>
        <w:gridCol w:w="1953"/>
        <w:gridCol w:w="1959"/>
        <w:gridCol w:w="1206"/>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T761086-POTPORA DRUŠTVU HŽ INFRASTRUKTURA ZA DOVRŠETAK PROJEKTA FINANCIRANOG IZ IBRD ZAJMA</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994.204</w:t>
            </w:r>
          </w:p>
        </w:tc>
        <w:tc>
          <w:tcPr>
            <w:tcW w:w="2041" w:type="dxa"/>
          </w:tcPr>
          <w:p w:rsidR="00895DD6" w:rsidRDefault="00F31687">
            <w:pPr>
              <w:pStyle w:val="CellColumn"/>
              <w:jc w:val="right"/>
            </w:pPr>
            <w:r>
              <w:rPr>
                <w:rFonts w:cs="Times New Roman"/>
              </w:rPr>
              <w:t>994.204</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Strategija prometnog razvoja Republike Hrvatske za razdoblje od 2017. do 2030. godine   </w:t>
      </w:r>
    </w:p>
    <w:p w:rsidR="00895DD6" w:rsidRDefault="00F31687">
      <w:r>
        <w:t xml:space="preserve">- Nacionalni program željezničke infrastrukture za razdoblje od 2016. do 2020. godine    </w:t>
      </w:r>
    </w:p>
    <w:p w:rsidR="00895DD6" w:rsidRDefault="00F31687">
      <w:r>
        <w:t xml:space="preserve">- Konsolidirana verzija Ugovora </w:t>
      </w:r>
      <w:r>
        <w:t xml:space="preserve">o Europskoj uniji i Ugovora o funkcioniranju Europske unije (čl. 73)  </w:t>
      </w:r>
    </w:p>
    <w:p w:rsidR="00895DD6" w:rsidRDefault="00F31687">
      <w:r>
        <w:t>- Smjernice Zajednice o državnoj potpori za željeznička poduzeća (2008/C 184/07, str. 13.-31.)</w:t>
      </w:r>
    </w:p>
    <w:p w:rsidR="00895DD6" w:rsidRDefault="00F31687">
      <w:pPr>
        <w:pStyle w:val="Heading8"/>
        <w:jc w:val="left"/>
      </w:pPr>
      <w:r>
        <w:t>Opis aktivnosti</w:t>
      </w:r>
    </w:p>
    <w:p w:rsidR="00895DD6" w:rsidRDefault="00F31687">
      <w:r>
        <w:t>Međunarodna banka za obnovu i razvoj (IBRD) i HŽ Infrastruktura d.o.o. skl</w:t>
      </w:r>
      <w:r>
        <w:t>opili su dana 6.5.2015. g. Ugovor o zajmu br. 8500-HR za financiranje Projekta održivih Hrvatskih željeznica u Europi. Sredstva su bila namijenjena za restrukturiranje i unaprjeđenje operativne učinkovitosti željezničkog sektora, uključujući HŽ Putnički pr</w:t>
      </w:r>
      <w:r>
        <w:t xml:space="preserve">ijevoz d.o.o., HŽ Cargo d.o.o. i HŽ Infrastrukturu d.o.o.  </w:t>
      </w:r>
    </w:p>
    <w:p w:rsidR="00895DD6" w:rsidRDefault="00F31687">
      <w:r>
        <w:t>Na temelju spomenutog Ugovora o zajmu (8500-HR), Republika Hrvatska — zastupana po Ministarstvu mora, prometa i infrastrukture i HŽ Infrastruktura d.o.o. su 7.5.2015. g. potpisali Podugovor Ugovor</w:t>
      </w:r>
      <w:r>
        <w:t xml:space="preserve">a o zajmu te 16.5.2019. g. Izmjene i dopune Podugovora za komponentu A Ugovora o zajmu - Podrška restrukturiranju i koordinacije koji je opisan u Prilogu I, Dio A, Ugovora o zajmu, a koji se provodio od strane HŽ Infrastrukture d.o.o., kao zajmoprimca. </w:t>
      </w:r>
    </w:p>
    <w:p w:rsidR="00895DD6" w:rsidRDefault="00F31687">
      <w:r>
        <w:lastRenderedPageBreak/>
        <w:t>Te</w:t>
      </w:r>
      <w:r>
        <w:t>meljem odredbi Ugovora o zajmu i Podugovora sklopljeni su ugovori za konzultantske usluge. Tijekom realizacije ugovora dolazi do spora i arbitražnog postupka koji je okončan nagodbom te izmirenjem obveze prema pružatelju konzultantskih usluga čime je omogu</w:t>
      </w:r>
      <w:r>
        <w:t>ćeno zatvaranje financijskih obveza sukladno odredbama Ugovora o zajmu.</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895DD6">
            <w:pPr>
              <w:jc w:val="left"/>
            </w:pPr>
          </w:p>
        </w:tc>
        <w:tc>
          <w:tcPr>
            <w:tcW w:w="2551" w:type="dxa"/>
          </w:tcPr>
          <w:p w:rsidR="00895DD6" w:rsidRDefault="00895DD6">
            <w:pPr>
              <w:jc w:val="left"/>
            </w:pPr>
          </w:p>
        </w:tc>
        <w:tc>
          <w:tcPr>
            <w:tcW w:w="1020" w:type="dxa"/>
          </w:tcPr>
          <w:p w:rsidR="00895DD6" w:rsidRDefault="00895DD6">
            <w:pPr>
              <w:jc w:val="left"/>
            </w:pPr>
          </w:p>
        </w:tc>
        <w:tc>
          <w:tcPr>
            <w:tcW w:w="1020" w:type="dxa"/>
          </w:tcPr>
          <w:p w:rsidR="00895DD6" w:rsidRDefault="00895DD6">
            <w:pPr>
              <w:jc w:val="left"/>
            </w:pPr>
          </w:p>
        </w:tc>
        <w:tc>
          <w:tcPr>
            <w:tcW w:w="1020" w:type="dxa"/>
          </w:tcPr>
          <w:p w:rsidR="00895DD6" w:rsidRDefault="00895DD6">
            <w:pPr>
              <w:jc w:val="left"/>
            </w:pPr>
          </w:p>
        </w:tc>
        <w:tc>
          <w:tcPr>
            <w:tcW w:w="1020" w:type="dxa"/>
          </w:tcPr>
          <w:p w:rsidR="00895DD6" w:rsidRDefault="00895DD6">
            <w:pPr>
              <w:jc w:val="left"/>
            </w:pPr>
          </w:p>
        </w:tc>
        <w:tc>
          <w:tcPr>
            <w:tcW w:w="1020" w:type="dxa"/>
          </w:tcPr>
          <w:p w:rsidR="00895DD6" w:rsidRDefault="00895DD6">
            <w:pPr>
              <w:jc w:val="left"/>
            </w:pPr>
          </w:p>
        </w:tc>
      </w:tr>
    </w:tbl>
    <w:p w:rsidR="00895DD6" w:rsidRDefault="00895DD6">
      <w:pPr>
        <w:jc w:val="left"/>
      </w:pPr>
    </w:p>
    <w:p w:rsidR="00895DD6" w:rsidRDefault="00F31687">
      <w:pPr>
        <w:pStyle w:val="Heading4"/>
      </w:pPr>
      <w:r>
        <w:t>T819078 OPREMANJE PRUGA UREĐAJEM ZA AUTOMATSKU ZAŠTITU VLAKA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T819078-OPREMANJE PRUGA UREĐAJEM ZA AUTOMATSKU ZAŠTIT</w:t>
            </w:r>
            <w:r>
              <w:rPr>
                <w:rFonts w:cs="Times New Roman"/>
              </w:rPr>
              <w:t>U VLAKA</w:t>
            </w:r>
          </w:p>
        </w:tc>
        <w:tc>
          <w:tcPr>
            <w:tcW w:w="2041" w:type="dxa"/>
          </w:tcPr>
          <w:p w:rsidR="00895DD6" w:rsidRDefault="00F31687">
            <w:pPr>
              <w:pStyle w:val="CellColumn"/>
              <w:jc w:val="right"/>
            </w:pPr>
            <w:r>
              <w:rPr>
                <w:rFonts w:cs="Times New Roman"/>
              </w:rPr>
              <w:t>136.456</w:t>
            </w:r>
          </w:p>
        </w:tc>
        <w:tc>
          <w:tcPr>
            <w:tcW w:w="2041" w:type="dxa"/>
          </w:tcPr>
          <w:p w:rsidR="00895DD6" w:rsidRDefault="00F31687">
            <w:pPr>
              <w:pStyle w:val="CellColumn"/>
              <w:jc w:val="right"/>
            </w:pPr>
            <w:r>
              <w:rPr>
                <w:rFonts w:cs="Times New Roman"/>
              </w:rPr>
              <w:t>86.801</w:t>
            </w:r>
          </w:p>
        </w:tc>
        <w:tc>
          <w:tcPr>
            <w:tcW w:w="2041" w:type="dxa"/>
          </w:tcPr>
          <w:p w:rsidR="00895DD6" w:rsidRDefault="00F31687">
            <w:pPr>
              <w:pStyle w:val="CellColumn"/>
              <w:jc w:val="right"/>
            </w:pPr>
            <w:r>
              <w:rPr>
                <w:rFonts w:cs="Times New Roman"/>
              </w:rPr>
              <w:t>86.801</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63,6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18.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(NRS 2030.)  </w:t>
      </w:r>
    </w:p>
    <w:p w:rsidR="00895DD6" w:rsidRDefault="00F31687">
      <w:r>
        <w:t xml:space="preserve">- Zakon o sustavu strateškog planiranja i upravljanja razvojem Republike Hrvatske  </w:t>
      </w:r>
    </w:p>
    <w:p w:rsidR="00895DD6" w:rsidRDefault="00F31687">
      <w:r>
        <w:t xml:space="preserve">- Strategija razvoja željezničkog sustava Republike Hrvatske do 2032. godine  </w:t>
      </w:r>
    </w:p>
    <w:p w:rsidR="00895DD6" w:rsidRDefault="00F31687">
      <w:r>
        <w:t>- Nacionaln</w:t>
      </w:r>
      <w:r>
        <w:t xml:space="preserve">i plan upravljanja željezničkom infrastrukturom i uslužnim objektima i razvoja usluga željezničkog prijevoza za razdoblje do 2030. godine  </w:t>
      </w:r>
    </w:p>
    <w:p w:rsidR="00895DD6" w:rsidRDefault="00F31687">
      <w:r>
        <w:t xml:space="preserve">- Nacionalni plan razvoja željezničke infrastrukture za razdoblje do 2030. godine  </w:t>
      </w:r>
    </w:p>
    <w:p w:rsidR="00895DD6" w:rsidRDefault="00F31687">
      <w:r>
        <w:t>- Zakon o sigurnosti i interoper</w:t>
      </w:r>
      <w:r>
        <w:t>abilnosti željezničkog sustava, članak 84. stavak 3.</w:t>
      </w:r>
    </w:p>
    <w:p w:rsidR="00895DD6" w:rsidRDefault="00F31687">
      <w:pPr>
        <w:pStyle w:val="Heading8"/>
        <w:jc w:val="left"/>
      </w:pPr>
      <w:r>
        <w:t>Opis aktivnosti</w:t>
      </w:r>
    </w:p>
    <w:p w:rsidR="00895DD6" w:rsidRDefault="00F31687">
      <w:r>
        <w:t>Tijekom 2025. godine doznačena proračunska sredstva društvu HŽ INFRASTRUKTURA d.o.o. u ukupnom iznosu od 86.800,68 EUR utrošena su za obnovu relejnih kolodvorskih i APB uređaja.</w:t>
      </w:r>
    </w:p>
    <w:p w:rsidR="00895DD6" w:rsidRDefault="00F31687">
      <w:pPr>
        <w:pStyle w:val="Heading8"/>
        <w:jc w:val="left"/>
      </w:pPr>
      <w:r>
        <w:t>Pokazatel</w:t>
      </w:r>
      <w:r>
        <w:t>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Opremljene pruge uređajem za automatsku zaštitu vlaka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Provedeno opremanje postojećih željezničkih pruga uređajem za automatsku zaštitu vlaka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29</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12</w:t>
            </w:r>
          </w:p>
        </w:tc>
        <w:tc>
          <w:tcPr>
            <w:tcW w:w="1020" w:type="dxa"/>
          </w:tcPr>
          <w:p w:rsidR="00895DD6" w:rsidRDefault="00F31687">
            <w:pPr>
              <w:pStyle w:val="CellColumn"/>
              <w:jc w:val="right"/>
            </w:pPr>
            <w:r>
              <w:rPr>
                <w:rFonts w:cs="Times New Roman"/>
              </w:rPr>
              <w:t>12</w:t>
            </w:r>
          </w:p>
        </w:tc>
      </w:tr>
    </w:tbl>
    <w:p w:rsidR="00895DD6" w:rsidRDefault="00895DD6">
      <w:pPr>
        <w:jc w:val="left"/>
      </w:pPr>
    </w:p>
    <w:p w:rsidR="00895DD6" w:rsidRDefault="00F31687">
      <w:pPr>
        <w:pStyle w:val="Heading4"/>
      </w:pPr>
      <w:r>
        <w:lastRenderedPageBreak/>
        <w:t>T821082 POTPORA U PROVEDBI NPOO PROJEKATA ŽELJEZNIČKOG SEKTORA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T821082-POTPORA U PROVEDBI NPOO PROJEKATA ŽELJEZNIČKOG SEKTORA</w:t>
            </w:r>
          </w:p>
        </w:tc>
        <w:tc>
          <w:tcPr>
            <w:tcW w:w="2041" w:type="dxa"/>
          </w:tcPr>
          <w:p w:rsidR="00895DD6" w:rsidRDefault="00F31687">
            <w:pPr>
              <w:pStyle w:val="CellColumn"/>
              <w:jc w:val="right"/>
            </w:pPr>
            <w:r>
              <w:rPr>
                <w:rFonts w:cs="Times New Roman"/>
              </w:rPr>
              <w:t>803.750</w:t>
            </w:r>
          </w:p>
        </w:tc>
        <w:tc>
          <w:tcPr>
            <w:tcW w:w="2041" w:type="dxa"/>
          </w:tcPr>
          <w:p w:rsidR="00895DD6" w:rsidRDefault="00F31687">
            <w:pPr>
              <w:pStyle w:val="CellColumn"/>
              <w:jc w:val="right"/>
            </w:pPr>
            <w:r>
              <w:rPr>
                <w:rFonts w:cs="Times New Roman"/>
              </w:rPr>
              <w:t>2.375.200</w:t>
            </w:r>
          </w:p>
        </w:tc>
        <w:tc>
          <w:tcPr>
            <w:tcW w:w="2041" w:type="dxa"/>
          </w:tcPr>
          <w:p w:rsidR="00895DD6" w:rsidRDefault="00F31687">
            <w:pPr>
              <w:pStyle w:val="CellColumn"/>
              <w:jc w:val="right"/>
            </w:pPr>
            <w:r>
              <w:rPr>
                <w:rFonts w:cs="Times New Roman"/>
              </w:rPr>
              <w:t>2.375.200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295,5</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18.   </w:t>
      </w:r>
    </w:p>
    <w:p w:rsidR="00895DD6" w:rsidRDefault="00F31687">
      <w:r>
        <w:t xml:space="preserve">- Strategija prometnog razvoja Republike Hrvatske za razdoblje od 2017. do 2030. godine </w:t>
      </w:r>
    </w:p>
    <w:p w:rsidR="00895DD6" w:rsidRDefault="00F31687">
      <w:r>
        <w:t xml:space="preserve">- Nacionalna razvojna strategija Republike Hrvatske do 2030. godine (NRS 2030.)  </w:t>
      </w:r>
    </w:p>
    <w:p w:rsidR="00895DD6" w:rsidRDefault="00F31687">
      <w:r>
        <w:t xml:space="preserve">- Nacionalni program reformi (NPR 2020.) </w:t>
      </w:r>
    </w:p>
    <w:p w:rsidR="00895DD6" w:rsidRDefault="00F31687">
      <w:r>
        <w:t>- Nacionalni plan oporavka i otpornosti 202</w:t>
      </w:r>
      <w:r>
        <w:t xml:space="preserve">1. - 2026.  </w:t>
      </w:r>
    </w:p>
    <w:p w:rsidR="00895DD6" w:rsidRDefault="00F31687">
      <w:r>
        <w:t xml:space="preserve">- Zakon o sustavu strateškog planiranja i upravljanja razvojem Republike Hrvatske  </w:t>
      </w:r>
    </w:p>
    <w:p w:rsidR="00895DD6" w:rsidRDefault="00F31687">
      <w:r>
        <w:t xml:space="preserve">- Strategija razvoja željezničkog sustava Republike Hrvatske do 2032. godine  </w:t>
      </w:r>
    </w:p>
    <w:p w:rsidR="00895DD6" w:rsidRDefault="00F31687">
      <w:r>
        <w:t xml:space="preserve">- Nacionalni plan upravljanja željezničkom infrastrukturom i uslužnim objektima </w:t>
      </w:r>
      <w:r>
        <w:t xml:space="preserve">i razvoja usluga željezničkog prijevoza za razdoblje do 2030. godine  </w:t>
      </w:r>
    </w:p>
    <w:p w:rsidR="00895DD6" w:rsidRDefault="00F31687">
      <w:r>
        <w:t xml:space="preserve">- Nacionalni plan razvoja željezničke infrastrukture za razdoblje do 2030. godine  </w:t>
      </w:r>
    </w:p>
    <w:p w:rsidR="00895DD6" w:rsidRDefault="00F31687">
      <w:r>
        <w:t>- Ugovor o dodjeli bespovratnih sredstava za projekte financirane iz Nacionalnog plana oporavka i otp</w:t>
      </w:r>
      <w:r>
        <w:t xml:space="preserve">ornosti 2021. - 2026. (NPOO) za  Projekt „Uklanjanje "uskih grla" na željezničkoj infrastrukturi“; referentni broj: NPOO.C1.4.R2-I3.01.0001 </w:t>
      </w:r>
    </w:p>
    <w:p w:rsidR="00895DD6" w:rsidRDefault="00F31687">
      <w:r>
        <w:t xml:space="preserve">- Ugovor o dodjeli bespovratnih sredstava za projekte financirane iz Nacionalnog plana oporavka i otpornosti 2021. </w:t>
      </w:r>
      <w:r>
        <w:t>- 2026. (NPOO) za Projekt „Modernizacija dionice Zagreb Kustošija - Zagreb ZK - Zagreb GK“; referentni broj: NPOO.C1.4.R2-I4.01.0001</w:t>
      </w:r>
    </w:p>
    <w:p w:rsidR="00895DD6" w:rsidRDefault="00F31687">
      <w:pPr>
        <w:pStyle w:val="Heading8"/>
        <w:jc w:val="left"/>
      </w:pPr>
      <w:r>
        <w:t>Opis aktivnosti</w:t>
      </w:r>
    </w:p>
    <w:p w:rsidR="00895DD6" w:rsidRDefault="00F31687">
      <w:r>
        <w:t>Tijekom 2025. godine doznačena proračunska sredstva društvu HŽ INFRASTRUKTURI d.o.o. u ukupnom iznosu od 2.</w:t>
      </w:r>
      <w:r>
        <w:t xml:space="preserve">375.200,00 EUR utrošena su za sljedeće namjene: </w:t>
      </w:r>
    </w:p>
    <w:p w:rsidR="00895DD6" w:rsidRDefault="00F31687">
      <w:r>
        <w:t>˗</w:t>
      </w:r>
      <w:r>
        <w:tab/>
        <w:t xml:space="preserve">izvođenje radova na projektima </w:t>
      </w:r>
    </w:p>
    <w:p w:rsidR="00895DD6" w:rsidRDefault="00F31687">
      <w:r>
        <w:t>˗</w:t>
      </w:r>
      <w:r>
        <w:tab/>
        <w:t xml:space="preserve">uslugu nadzora nad izvođenjem radova </w:t>
      </w:r>
    </w:p>
    <w:p w:rsidR="00895DD6" w:rsidRDefault="00F31687">
      <w:r>
        <w:t>˗</w:t>
      </w:r>
      <w:r>
        <w:tab/>
        <w:t>arheološki pregled terena.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 xml:space="preserve">Uklonjena „uska grla“ na dionicama s trenutačnim ograničenjem brzine prometovanja od 60 km/h </w:t>
            </w:r>
          </w:p>
          <w:p w:rsidR="00895DD6" w:rsidRDefault="00F31687">
            <w:pPr>
              <w:pStyle w:val="CellColumn"/>
              <w:jc w:val="left"/>
            </w:pPr>
            <w:r>
              <w:rPr>
                <w:rFonts w:cs="Times New Roman"/>
              </w:rPr>
              <w:t>(godišnja vrijednost)</w:t>
            </w:r>
          </w:p>
        </w:tc>
        <w:tc>
          <w:tcPr>
            <w:tcW w:w="2551" w:type="dxa"/>
          </w:tcPr>
          <w:p w:rsidR="00895DD6" w:rsidRDefault="00F31687">
            <w:pPr>
              <w:pStyle w:val="CellColumn"/>
              <w:jc w:val="left"/>
            </w:pPr>
            <w:r>
              <w:rPr>
                <w:rFonts w:cs="Times New Roman"/>
              </w:rPr>
              <w:t>Izvedeni radovi na uklanjanju „uskih grla“ s ciljem povećanje brzine prometovanja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38</w:t>
            </w:r>
          </w:p>
        </w:tc>
        <w:tc>
          <w:tcPr>
            <w:tcW w:w="1020" w:type="dxa"/>
          </w:tcPr>
          <w:p w:rsidR="00895DD6" w:rsidRDefault="00F31687">
            <w:pPr>
              <w:pStyle w:val="CellColumn"/>
              <w:jc w:val="right"/>
            </w:pPr>
            <w:r>
              <w:rPr>
                <w:rFonts w:cs="Times New Roman"/>
              </w:rPr>
              <w:t>34</w:t>
            </w:r>
          </w:p>
        </w:tc>
      </w:tr>
    </w:tbl>
    <w:p w:rsidR="00895DD6" w:rsidRDefault="00895DD6">
      <w:pPr>
        <w:jc w:val="left"/>
      </w:pPr>
    </w:p>
    <w:p w:rsidR="00895DD6" w:rsidRDefault="00F31687">
      <w:pPr>
        <w:pStyle w:val="Heading3"/>
      </w:pPr>
      <w:r>
        <w:rPr>
          <w:rFonts w:cs="Times New Roman"/>
        </w:rPr>
        <w:t>3115 RAZVOJ UNUTARNJE PLOVIDBE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3115-RAZVOJ UNUTARNJE PLOVIDBE</w:t>
            </w:r>
          </w:p>
        </w:tc>
        <w:tc>
          <w:tcPr>
            <w:tcW w:w="2041" w:type="dxa"/>
          </w:tcPr>
          <w:p w:rsidR="00895DD6" w:rsidRDefault="00F31687">
            <w:pPr>
              <w:pStyle w:val="CellColumn"/>
              <w:jc w:val="right"/>
            </w:pPr>
            <w:r>
              <w:rPr>
                <w:rFonts w:cs="Times New Roman"/>
              </w:rPr>
              <w:t>3.296.736</w:t>
            </w:r>
          </w:p>
        </w:tc>
        <w:tc>
          <w:tcPr>
            <w:tcW w:w="2041" w:type="dxa"/>
          </w:tcPr>
          <w:p w:rsidR="00895DD6" w:rsidRDefault="00F31687">
            <w:pPr>
              <w:pStyle w:val="CellColumn"/>
              <w:jc w:val="right"/>
            </w:pPr>
            <w:r>
              <w:rPr>
                <w:rFonts w:cs="Times New Roman"/>
              </w:rPr>
              <w:t>4.577.165</w:t>
            </w:r>
          </w:p>
        </w:tc>
        <w:tc>
          <w:tcPr>
            <w:tcW w:w="2041" w:type="dxa"/>
          </w:tcPr>
          <w:p w:rsidR="00895DD6" w:rsidRDefault="00F31687">
            <w:pPr>
              <w:pStyle w:val="CellColumn"/>
              <w:jc w:val="right"/>
            </w:pPr>
            <w:r>
              <w:rPr>
                <w:rFonts w:cs="Times New Roman"/>
              </w:rPr>
              <w:t>4.190.421</w:t>
            </w:r>
          </w:p>
        </w:tc>
        <w:tc>
          <w:tcPr>
            <w:tcW w:w="1224" w:type="dxa"/>
          </w:tcPr>
          <w:p w:rsidR="00895DD6" w:rsidRDefault="00F31687">
            <w:pPr>
              <w:pStyle w:val="CellColumn"/>
              <w:jc w:val="right"/>
            </w:pPr>
            <w:r>
              <w:rPr>
                <w:rFonts w:cs="Times New Roman"/>
              </w:rPr>
              <w:t>91,6</w:t>
            </w:r>
          </w:p>
        </w:tc>
        <w:tc>
          <w:tcPr>
            <w:tcW w:w="1224" w:type="dxa"/>
          </w:tcPr>
          <w:p w:rsidR="00895DD6" w:rsidRDefault="00F31687">
            <w:pPr>
              <w:pStyle w:val="CellColumn"/>
              <w:jc w:val="right"/>
            </w:pPr>
            <w:r>
              <w:rPr>
                <w:rFonts w:cs="Times New Roman"/>
              </w:rPr>
              <w:t>127,1</w:t>
            </w:r>
          </w:p>
        </w:tc>
      </w:tr>
    </w:tbl>
    <w:p w:rsidR="00895DD6" w:rsidRDefault="00895DD6">
      <w:pPr>
        <w:jc w:val="left"/>
      </w:pPr>
    </w:p>
    <w:p w:rsidR="00895DD6" w:rsidRDefault="00F31687">
      <w:pPr>
        <w:pStyle w:val="Heading8"/>
        <w:jc w:val="left"/>
      </w:pPr>
      <w:r>
        <w:t>Cilj 1. Razvijen sustav unutarnje plovidbe</w:t>
      </w:r>
    </w:p>
    <w:p w:rsidR="00895DD6" w:rsidRDefault="00F31687">
      <w:pPr>
        <w:pStyle w:val="Heading8"/>
        <w:jc w:val="left"/>
      </w:pPr>
      <w:r>
        <w:t>Opis provedbe cilja programa</w:t>
      </w:r>
    </w:p>
    <w:p w:rsidR="00895DD6" w:rsidRDefault="00F31687">
      <w:r>
        <w:t>Provođenjem programa razvoja unutarnje plovidbe u Republici Hrvatskoj nastoji se maksimalno iskoristiti postojeći potencijal riječnog prometa uz povećanje učinkovitosti, sigurnosti i održivosti sustava. Razvoj unutarnjih vodnih putova usklađen je s aktualn</w:t>
      </w:r>
      <w:r>
        <w:t xml:space="preserve">im prometnim i klimatskim politikama Europske unije i jačanja multimodalne prometne mreže.  </w:t>
      </w:r>
    </w:p>
    <w:p w:rsidR="00895DD6" w:rsidRDefault="00F31687">
      <w:r>
        <w:t>Strateški cilj Ministarstva ostaje dugoročni razvoj sustava unutarnje plovidbe kroz modernizaciju luka, unapređenje plovnih putova te jačanje logističkih kapacitet</w:t>
      </w:r>
      <w:r>
        <w:t>a. Za ostvarenje postavljenog cilja potrebno je sustavno provoditi ujednačen razvoj lučke infrastrukture, razvoj brodarstva, modernizaciju flote i plovnih objekata, razvoj informacijsko-komunikacijskih sustava, razvoj prometne povezanosti, osiguravanje vis</w:t>
      </w:r>
      <w:r>
        <w:t xml:space="preserve">oke razine sigurnosti i zaštite okoliša u plovidbi i poticanje stručnog obrazovanja u unutarnjoj plovidbi. </w:t>
      </w:r>
    </w:p>
    <w:p w:rsidR="00895DD6" w:rsidRDefault="00F31687">
      <w:r>
        <w:t>U promicanju unutarnje plovidbe kao najisplativijeg oblika transporta, poseban naglasak treba staviti na činjenicu da se radi o ekološki najprihvatl</w:t>
      </w:r>
      <w:r>
        <w:t xml:space="preserve">jivijem obliku prometa.  </w:t>
      </w:r>
    </w:p>
    <w:p w:rsidR="00895DD6" w:rsidRDefault="00F31687">
      <w:r>
        <w:t xml:space="preserve">U 2025. godini program je realiziran kroz sljedeće aktivnosti: </w:t>
      </w:r>
    </w:p>
    <w:p w:rsidR="00895DD6" w:rsidRDefault="00F31687">
      <w:r>
        <w:t>- Pomoći jedinicama lokalne i područne (regionalne) samouprave za razvoj riječnog prometa, županijskih luka i pristaništa ostvarene su kroz sufinanciranje dijela troš</w:t>
      </w:r>
      <w:r>
        <w:t xml:space="preserve">kova gradnje i troškova održavanja plovila, a sve u svrhu održavanja redovnog skelskog prijevoza putnika i tereta. </w:t>
      </w:r>
    </w:p>
    <w:p w:rsidR="00895DD6" w:rsidRDefault="00F31687">
      <w:r>
        <w:t>- Potpora brodarima unutarnje plovidbe u nacionalnom prijevozu ostvarene su kroz dodjelu potpore male vrijednosti (de minimis) za modernizac</w:t>
      </w:r>
      <w:r>
        <w:t xml:space="preserve">iju flote plovila na unutarnjim vodama. </w:t>
      </w:r>
    </w:p>
    <w:p w:rsidR="00895DD6" w:rsidRDefault="00F31687">
      <w:r>
        <w:t xml:space="preserve">Provođenjem odredbi međunarodnog Ugovora, sufinanciran je rad i osiguran smještaj Savske komisije, čime je osigurano njeno sudjelovanje u radu međunarodnih institucija iz područja unutarnje plovidbe.  </w:t>
      </w:r>
    </w:p>
    <w:p w:rsidR="00895DD6" w:rsidRDefault="00F31687">
      <w:r>
        <w:t>Riječni prome</w:t>
      </w:r>
      <w:r>
        <w:t>t je od ključnog značaja za razvoj nedovoljno razvijenih regija s posebnim naglaskom na gospodarsko područje oko rijeke Save gdje se transport roba tradicionalno nije usmjeravao na riječni promet. U ovom kontekstu bi se razvoj mreže vodnih putova na rijeci</w:t>
      </w:r>
      <w:r>
        <w:t xml:space="preserve"> Savi mogao promatrati kao nacionalni prioritet, budući da će povećanje učinkovitosti prometnog sustava u Republici Hrvatskoj ujedno doprinijeti razvoju gospodarstva u jednoj od najslabije razvijenih regija koja zapravo ima ogroman potencijal. </w:t>
      </w:r>
    </w:p>
    <w:p w:rsidR="00895DD6" w:rsidRDefault="00F31687">
      <w:r>
        <w:t>Glavna pozo</w:t>
      </w:r>
      <w:r>
        <w:t xml:space="preserve">rnost u razvoju ovoga vida prometa će biti usmjerena ka poboljšanjima vezanim uz TEN-T koridor VII, rijeku Dunav s pripadajućim pritokama (rijeke Save i Drave). </w:t>
      </w:r>
    </w:p>
    <w:p w:rsidR="00895DD6" w:rsidRDefault="00F31687">
      <w:r>
        <w:t>Vidljiv je pad ostvarenih vrijednosti u odnosu na planirane u količini prekrcanog tereta u luk</w:t>
      </w:r>
      <w:r>
        <w:t>ama unutarnjih voda koji je odraz promjena geopolitičke situacije te smanjenja ljudskih resursa i narušenosti logističkog sustava u cijelom svijetu.</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w:t>
            </w:r>
            <w:r>
              <w:rPr>
                <w:rFonts w:cs="Times New Roman"/>
              </w:rPr>
              <w:t>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Povećana količina prekrcajnog tereta u lukama unutarnjih voda</w:t>
            </w:r>
          </w:p>
        </w:tc>
        <w:tc>
          <w:tcPr>
            <w:tcW w:w="2551" w:type="dxa"/>
          </w:tcPr>
          <w:p w:rsidR="00895DD6" w:rsidRDefault="00F31687">
            <w:pPr>
              <w:pStyle w:val="CellColumn"/>
              <w:jc w:val="left"/>
            </w:pPr>
            <w:r>
              <w:rPr>
                <w:rFonts w:cs="Times New Roman"/>
              </w:rPr>
              <w:t>Ukupna količina prekrcajnog tereta u lukama unutarnjih voda</w:t>
            </w:r>
          </w:p>
        </w:tc>
        <w:tc>
          <w:tcPr>
            <w:tcW w:w="1020" w:type="dxa"/>
          </w:tcPr>
          <w:p w:rsidR="00895DD6" w:rsidRDefault="00F31687">
            <w:pPr>
              <w:pStyle w:val="CellColumn"/>
              <w:jc w:val="right"/>
            </w:pPr>
            <w:r>
              <w:rPr>
                <w:rFonts w:cs="Times New Roman"/>
              </w:rPr>
              <w:t>tona</w:t>
            </w:r>
          </w:p>
        </w:tc>
        <w:tc>
          <w:tcPr>
            <w:tcW w:w="1020" w:type="dxa"/>
          </w:tcPr>
          <w:p w:rsidR="00895DD6" w:rsidRDefault="00F31687">
            <w:pPr>
              <w:pStyle w:val="CellColumn"/>
              <w:jc w:val="right"/>
            </w:pPr>
            <w:r>
              <w:rPr>
                <w:rFonts w:cs="Times New Roman"/>
              </w:rPr>
              <w:t>504.614</w:t>
            </w:r>
          </w:p>
        </w:tc>
        <w:tc>
          <w:tcPr>
            <w:tcW w:w="1020" w:type="dxa"/>
          </w:tcPr>
          <w:p w:rsidR="00895DD6" w:rsidRDefault="00F31687">
            <w:pPr>
              <w:pStyle w:val="CellColumn"/>
              <w:jc w:val="right"/>
            </w:pPr>
            <w:r>
              <w:rPr>
                <w:rFonts w:cs="Times New Roman"/>
              </w:rPr>
              <w:t xml:space="preserve">Lučke uprave </w:t>
            </w:r>
          </w:p>
          <w:p w:rsidR="00895DD6" w:rsidRDefault="00F31687">
            <w:pPr>
              <w:pStyle w:val="CellColumn"/>
              <w:jc w:val="right"/>
            </w:pPr>
            <w:r>
              <w:rPr>
                <w:rFonts w:cs="Times New Roman"/>
              </w:rPr>
              <w:t xml:space="preserve">unutarnjih voda </w:t>
            </w:r>
          </w:p>
          <w:p w:rsidR="00895DD6" w:rsidRDefault="00F31687">
            <w:pPr>
              <w:pStyle w:val="CellColumn"/>
              <w:jc w:val="right"/>
            </w:pPr>
            <w:r>
              <w:rPr>
                <w:rFonts w:cs="Times New Roman"/>
              </w:rPr>
              <w:t xml:space="preserve">(Vukovar, </w:t>
            </w:r>
          </w:p>
          <w:p w:rsidR="00895DD6" w:rsidRDefault="00F31687">
            <w:pPr>
              <w:pStyle w:val="CellColumn"/>
              <w:jc w:val="right"/>
            </w:pPr>
            <w:r>
              <w:rPr>
                <w:rFonts w:cs="Times New Roman"/>
              </w:rPr>
              <w:t xml:space="preserve">Osijek, </w:t>
            </w:r>
          </w:p>
          <w:p w:rsidR="00895DD6" w:rsidRDefault="00F31687">
            <w:pPr>
              <w:pStyle w:val="CellColumn"/>
              <w:jc w:val="right"/>
            </w:pPr>
            <w:r>
              <w:rPr>
                <w:rFonts w:cs="Times New Roman"/>
              </w:rPr>
              <w:t xml:space="preserve">Slavonski </w:t>
            </w:r>
          </w:p>
          <w:p w:rsidR="00895DD6" w:rsidRDefault="00F31687">
            <w:pPr>
              <w:pStyle w:val="CellColumn"/>
              <w:jc w:val="right"/>
            </w:pPr>
            <w:r>
              <w:rPr>
                <w:rFonts w:cs="Times New Roman"/>
              </w:rPr>
              <w:t xml:space="preserve">Brod, </w:t>
            </w:r>
          </w:p>
          <w:p w:rsidR="00895DD6" w:rsidRDefault="00F31687">
            <w:pPr>
              <w:pStyle w:val="CellColumn"/>
              <w:jc w:val="right"/>
            </w:pPr>
            <w:r>
              <w:rPr>
                <w:rFonts w:cs="Times New Roman"/>
              </w:rPr>
              <w:t>Sisak)</w:t>
            </w:r>
          </w:p>
        </w:tc>
        <w:tc>
          <w:tcPr>
            <w:tcW w:w="1020" w:type="dxa"/>
          </w:tcPr>
          <w:p w:rsidR="00895DD6" w:rsidRDefault="00F31687">
            <w:pPr>
              <w:pStyle w:val="CellColumn"/>
              <w:jc w:val="right"/>
            </w:pPr>
            <w:r>
              <w:rPr>
                <w:rFonts w:cs="Times New Roman"/>
              </w:rPr>
              <w:t>1.100.000</w:t>
            </w:r>
          </w:p>
        </w:tc>
        <w:tc>
          <w:tcPr>
            <w:tcW w:w="1020" w:type="dxa"/>
          </w:tcPr>
          <w:p w:rsidR="00895DD6" w:rsidRDefault="00F31687">
            <w:pPr>
              <w:pStyle w:val="CellColumn"/>
              <w:jc w:val="right"/>
            </w:pPr>
            <w:r>
              <w:rPr>
                <w:rFonts w:cs="Times New Roman"/>
              </w:rPr>
              <w:t>476.441</w:t>
            </w:r>
          </w:p>
        </w:tc>
      </w:tr>
      <w:tr w:rsidR="00895DD6">
        <w:trPr>
          <w:jc w:val="center"/>
        </w:trPr>
        <w:tc>
          <w:tcPr>
            <w:tcW w:w="2551" w:type="dxa"/>
          </w:tcPr>
          <w:p w:rsidR="00895DD6" w:rsidRDefault="00F31687">
            <w:pPr>
              <w:pStyle w:val="CellColumn"/>
              <w:jc w:val="left"/>
            </w:pPr>
            <w:r>
              <w:rPr>
                <w:rFonts w:cs="Times New Roman"/>
              </w:rPr>
              <w:t xml:space="preserve">Povećan broj putnika u </w:t>
            </w:r>
          </w:p>
          <w:p w:rsidR="00895DD6" w:rsidRDefault="00F31687">
            <w:pPr>
              <w:pStyle w:val="CellColumn"/>
              <w:jc w:val="left"/>
            </w:pPr>
            <w:r>
              <w:rPr>
                <w:rFonts w:cs="Times New Roman"/>
              </w:rPr>
              <w:t xml:space="preserve">pristaništima unutarnjih </w:t>
            </w:r>
          </w:p>
          <w:p w:rsidR="00895DD6" w:rsidRDefault="00F31687">
            <w:pPr>
              <w:pStyle w:val="CellColumn"/>
              <w:jc w:val="left"/>
            </w:pPr>
            <w:r>
              <w:rPr>
                <w:rFonts w:cs="Times New Roman"/>
              </w:rPr>
              <w:t>voda</w:t>
            </w:r>
          </w:p>
        </w:tc>
        <w:tc>
          <w:tcPr>
            <w:tcW w:w="2551" w:type="dxa"/>
          </w:tcPr>
          <w:p w:rsidR="00895DD6" w:rsidRDefault="00F31687">
            <w:pPr>
              <w:pStyle w:val="CellColumn"/>
              <w:jc w:val="left"/>
            </w:pPr>
            <w:r>
              <w:rPr>
                <w:rFonts w:cs="Times New Roman"/>
              </w:rPr>
              <w:t xml:space="preserve">Ukupna količina </w:t>
            </w:r>
          </w:p>
          <w:p w:rsidR="00895DD6" w:rsidRDefault="00F31687">
            <w:pPr>
              <w:pStyle w:val="CellColumn"/>
              <w:jc w:val="left"/>
            </w:pPr>
            <w:r>
              <w:rPr>
                <w:rFonts w:cs="Times New Roman"/>
              </w:rPr>
              <w:t xml:space="preserve">prevezenih putnika u </w:t>
            </w:r>
          </w:p>
          <w:p w:rsidR="00895DD6" w:rsidRDefault="00F31687">
            <w:pPr>
              <w:pStyle w:val="CellColumn"/>
              <w:jc w:val="left"/>
            </w:pPr>
            <w:r>
              <w:rPr>
                <w:rFonts w:cs="Times New Roman"/>
              </w:rPr>
              <w:t xml:space="preserve">domaćem i međunarodnom prometu u pristaništima unutarnjih </w:t>
            </w:r>
          </w:p>
          <w:p w:rsidR="00895DD6" w:rsidRDefault="00F31687">
            <w:pPr>
              <w:pStyle w:val="CellColumn"/>
              <w:jc w:val="left"/>
            </w:pPr>
            <w:r>
              <w:rPr>
                <w:rFonts w:cs="Times New Roman"/>
              </w:rPr>
              <w:t>voda</w:t>
            </w:r>
          </w:p>
        </w:tc>
        <w:tc>
          <w:tcPr>
            <w:tcW w:w="1020" w:type="dxa"/>
          </w:tcPr>
          <w:p w:rsidR="00895DD6" w:rsidRDefault="00F31687">
            <w:pPr>
              <w:pStyle w:val="CellColumn"/>
              <w:jc w:val="right"/>
            </w:pPr>
            <w:r>
              <w:rPr>
                <w:rFonts w:cs="Times New Roman"/>
              </w:rPr>
              <w:t>broj putnika</w:t>
            </w:r>
          </w:p>
        </w:tc>
        <w:tc>
          <w:tcPr>
            <w:tcW w:w="1020" w:type="dxa"/>
          </w:tcPr>
          <w:p w:rsidR="00895DD6" w:rsidRDefault="00F31687">
            <w:pPr>
              <w:pStyle w:val="CellColumn"/>
              <w:jc w:val="right"/>
            </w:pPr>
            <w:r>
              <w:rPr>
                <w:rFonts w:cs="Times New Roman"/>
              </w:rPr>
              <w:t>1.150.612</w:t>
            </w:r>
          </w:p>
        </w:tc>
        <w:tc>
          <w:tcPr>
            <w:tcW w:w="1020" w:type="dxa"/>
          </w:tcPr>
          <w:p w:rsidR="00895DD6" w:rsidRDefault="00F31687">
            <w:pPr>
              <w:pStyle w:val="CellColumn"/>
              <w:jc w:val="right"/>
            </w:pPr>
            <w:r>
              <w:rPr>
                <w:rFonts w:cs="Times New Roman"/>
              </w:rPr>
              <w:t xml:space="preserve">Lučke uprave </w:t>
            </w:r>
          </w:p>
          <w:p w:rsidR="00895DD6" w:rsidRDefault="00F31687">
            <w:pPr>
              <w:pStyle w:val="CellColumn"/>
              <w:jc w:val="right"/>
            </w:pPr>
            <w:r>
              <w:rPr>
                <w:rFonts w:cs="Times New Roman"/>
              </w:rPr>
              <w:t xml:space="preserve">unutarnjih voda </w:t>
            </w:r>
          </w:p>
          <w:p w:rsidR="00895DD6" w:rsidRDefault="00F31687">
            <w:pPr>
              <w:pStyle w:val="CellColumn"/>
              <w:jc w:val="right"/>
            </w:pPr>
            <w:r>
              <w:rPr>
                <w:rFonts w:cs="Times New Roman"/>
              </w:rPr>
              <w:t xml:space="preserve">(Vukovar, </w:t>
            </w:r>
          </w:p>
          <w:p w:rsidR="00895DD6" w:rsidRDefault="00F31687">
            <w:pPr>
              <w:pStyle w:val="CellColumn"/>
              <w:jc w:val="right"/>
            </w:pPr>
            <w:r>
              <w:rPr>
                <w:rFonts w:cs="Times New Roman"/>
              </w:rPr>
              <w:t xml:space="preserve">Osijek, </w:t>
            </w:r>
          </w:p>
          <w:p w:rsidR="00895DD6" w:rsidRDefault="00F31687">
            <w:pPr>
              <w:pStyle w:val="CellColumn"/>
              <w:jc w:val="right"/>
            </w:pPr>
            <w:r>
              <w:rPr>
                <w:rFonts w:cs="Times New Roman"/>
              </w:rPr>
              <w:t xml:space="preserve">Slavonski </w:t>
            </w:r>
          </w:p>
          <w:p w:rsidR="00895DD6" w:rsidRDefault="00F31687">
            <w:pPr>
              <w:pStyle w:val="CellColumn"/>
              <w:jc w:val="right"/>
            </w:pPr>
            <w:r>
              <w:rPr>
                <w:rFonts w:cs="Times New Roman"/>
              </w:rPr>
              <w:t xml:space="preserve">Brod, </w:t>
            </w:r>
          </w:p>
          <w:p w:rsidR="00895DD6" w:rsidRDefault="00F31687">
            <w:pPr>
              <w:pStyle w:val="CellColumn"/>
              <w:jc w:val="right"/>
            </w:pPr>
            <w:r>
              <w:rPr>
                <w:rFonts w:cs="Times New Roman"/>
              </w:rPr>
              <w:t>Sisak)</w:t>
            </w:r>
          </w:p>
        </w:tc>
        <w:tc>
          <w:tcPr>
            <w:tcW w:w="1020" w:type="dxa"/>
          </w:tcPr>
          <w:p w:rsidR="00895DD6" w:rsidRDefault="00F31687">
            <w:pPr>
              <w:pStyle w:val="CellColumn"/>
              <w:jc w:val="right"/>
            </w:pPr>
            <w:r>
              <w:rPr>
                <w:rFonts w:cs="Times New Roman"/>
              </w:rPr>
              <w:t>1.370.000</w:t>
            </w:r>
          </w:p>
        </w:tc>
        <w:tc>
          <w:tcPr>
            <w:tcW w:w="1020" w:type="dxa"/>
          </w:tcPr>
          <w:p w:rsidR="00895DD6" w:rsidRDefault="00F31687">
            <w:pPr>
              <w:pStyle w:val="CellColumn"/>
              <w:jc w:val="right"/>
            </w:pPr>
            <w:r>
              <w:rPr>
                <w:rFonts w:cs="Times New Roman"/>
              </w:rPr>
              <w:t>1.435.788</w:t>
            </w:r>
          </w:p>
        </w:tc>
      </w:tr>
    </w:tbl>
    <w:p w:rsidR="00895DD6" w:rsidRDefault="00895DD6">
      <w:pPr>
        <w:jc w:val="left"/>
      </w:pPr>
    </w:p>
    <w:p w:rsidR="00895DD6" w:rsidRDefault="00F31687">
      <w:pPr>
        <w:pStyle w:val="Heading4"/>
      </w:pPr>
      <w:r>
        <w:t>A570445 POMOĆ JEDINICAMA LOKALNE I REGIONALNE SAMOUPRAVE ZA RAZVOJ RIJEČNOG PROMETA I ŽUPANIJSKIH LUKA I PRISTANIŠTA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A570445-POMOĆ JEDINICAMA LOKALNE I REGIONALNE SAMOUPRAVE ZA RAZVOJ RIJEČNOG PROMETA I ŽUPANIJSKIH LUKA I PRISTANIŠTA</w:t>
            </w:r>
          </w:p>
        </w:tc>
        <w:tc>
          <w:tcPr>
            <w:tcW w:w="2041" w:type="dxa"/>
          </w:tcPr>
          <w:p w:rsidR="00895DD6" w:rsidRDefault="00F31687">
            <w:pPr>
              <w:pStyle w:val="CellColumn"/>
              <w:jc w:val="right"/>
            </w:pPr>
            <w:r>
              <w:rPr>
                <w:rFonts w:cs="Times New Roman"/>
              </w:rPr>
              <w:t>445.400</w:t>
            </w:r>
          </w:p>
        </w:tc>
        <w:tc>
          <w:tcPr>
            <w:tcW w:w="2041" w:type="dxa"/>
          </w:tcPr>
          <w:p w:rsidR="00895DD6" w:rsidRDefault="00F31687">
            <w:pPr>
              <w:pStyle w:val="CellColumn"/>
              <w:jc w:val="right"/>
            </w:pPr>
            <w:r>
              <w:rPr>
                <w:rFonts w:cs="Times New Roman"/>
              </w:rPr>
              <w:t>248.690</w:t>
            </w:r>
          </w:p>
        </w:tc>
        <w:tc>
          <w:tcPr>
            <w:tcW w:w="2041" w:type="dxa"/>
          </w:tcPr>
          <w:p w:rsidR="00895DD6" w:rsidRDefault="00F31687">
            <w:pPr>
              <w:pStyle w:val="CellColumn"/>
              <w:jc w:val="right"/>
            </w:pPr>
            <w:r>
              <w:rPr>
                <w:rFonts w:cs="Times New Roman"/>
              </w:rPr>
              <w:t>248.685</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55,8</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plovidbi i lukama unutarnjih voda; članak 2.  </w:t>
      </w:r>
    </w:p>
    <w:p w:rsidR="00895DD6" w:rsidRDefault="00F31687">
      <w:r>
        <w:t xml:space="preserve">- Pravilnik o plovidbi na unutarnjim vodama; članak 11.11, stavak 15.  </w:t>
      </w:r>
    </w:p>
    <w:p w:rsidR="00895DD6" w:rsidRDefault="00F31687">
      <w:r>
        <w:t xml:space="preserve">- Odluka o sufinanciranju troškova vezanih uz plovila za prijevoz putnika i roba na unutarnjim vodama   </w:t>
      </w:r>
    </w:p>
    <w:p w:rsidR="00895DD6" w:rsidRDefault="00F31687">
      <w:r>
        <w:t>- Ugovor o sufinancira</w:t>
      </w:r>
      <w:r>
        <w:t>nju troškova vezanih uz plovila za prijevoz putnika i roba na unutarnjim vodama</w:t>
      </w:r>
    </w:p>
    <w:p w:rsidR="00895DD6" w:rsidRDefault="00F31687">
      <w:pPr>
        <w:pStyle w:val="Heading8"/>
        <w:jc w:val="left"/>
      </w:pPr>
      <w:r>
        <w:t>Opis aktivnosti</w:t>
      </w:r>
    </w:p>
    <w:p w:rsidR="00895DD6" w:rsidRDefault="00F31687">
      <w:r>
        <w:t>Tijekom 2025. godine objavljen je poziv za dodjelu pomoći jedinicama lokalne i područne (regionalne) samouprave kroz tekuća i kapitalna ulaganja u plovila za pr</w:t>
      </w:r>
      <w:r>
        <w:t xml:space="preserve">ijevoz putnika i roba temeljem kojeg su dodijeljene pomoći za ukupno </w:t>
      </w:r>
      <w:r>
        <w:lastRenderedPageBreak/>
        <w:t>9 plovila, čime se osigurao kontinuirani prijevoz putnika i roba na unutarnjim vodama u naseljenim područjima gdje nije izgrađena cestovna infrastruktura (mostovi), a sve s ciljem potican</w:t>
      </w:r>
      <w:r>
        <w:t xml:space="preserve">ja bolje prometne povezanosti. </w:t>
      </w:r>
    </w:p>
    <w:p w:rsidR="00895DD6" w:rsidRDefault="00F31687">
      <w:r>
        <w:t xml:space="preserve">Pomoć je dodijeljena: </w:t>
      </w:r>
    </w:p>
    <w:p w:rsidR="00895DD6" w:rsidRDefault="00F31687">
      <w:r>
        <w:t xml:space="preserve">- gradu Mursko Središće u ukupnom iznosu od 57.750 EUR za skelu Križovec, za Malu skelu Mursko Središće te za skelu Fusek, </w:t>
      </w:r>
    </w:p>
    <w:p w:rsidR="00895DD6" w:rsidRDefault="00F31687">
      <w:r>
        <w:t xml:space="preserve">- općini Rugvica u iznosu od 34.505 EUR za skelu Oborovo za troškove plaća 2 </w:t>
      </w:r>
      <w:r>
        <w:t xml:space="preserve">skelara, </w:t>
      </w:r>
    </w:p>
    <w:p w:rsidR="00895DD6" w:rsidRDefault="00F31687">
      <w:r>
        <w:t xml:space="preserve">- općini Sunja u iznosu od 35.026,42 EUR za skelu Graduska Posavska za troškove plaća 4 skelara, </w:t>
      </w:r>
    </w:p>
    <w:p w:rsidR="00895DD6" w:rsidRDefault="00F31687">
      <w:r>
        <w:t xml:space="preserve">- općini Martinska Ves u ukupnom iznosu od 42.033,06 EUR za skele Tišina i Martinska Ves za troškove plaća 3 skelara, </w:t>
      </w:r>
    </w:p>
    <w:p w:rsidR="00895DD6" w:rsidRDefault="00F31687">
      <w:r>
        <w:t>- općini Ferdinandovac u izno</w:t>
      </w:r>
      <w:r>
        <w:t xml:space="preserve">su od 740,57 EUR za skelu Brodić za godišnji pregled plovila, </w:t>
      </w:r>
    </w:p>
    <w:p w:rsidR="00895DD6" w:rsidRDefault="00F31687">
      <w:r>
        <w:t>- općini Pitomača u iznosu od 83.630,12 EUR za skelu Banov Brod za troškove plaća 5 skelara te za pregled i servis elektromotora i nabavku druge potrebne opreme.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plovila u vlasništvu jedinica lokalne i regionalne samouprave kojima se dodjeljuje pomoć</w:t>
            </w:r>
          </w:p>
        </w:tc>
        <w:tc>
          <w:tcPr>
            <w:tcW w:w="2551" w:type="dxa"/>
          </w:tcPr>
          <w:p w:rsidR="00895DD6" w:rsidRDefault="00F31687">
            <w:pPr>
              <w:pStyle w:val="CellColumn"/>
              <w:jc w:val="left"/>
            </w:pPr>
            <w:r>
              <w:rPr>
                <w:rFonts w:cs="Times New Roman"/>
              </w:rPr>
              <w:t>Ulaganjem u plovila za prijevoz putnika i roba u vlasništvu jedinica lokalne i regionalne samouprave osigurava se optimalna razina kvalitete povezanosti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9</w:t>
            </w:r>
          </w:p>
        </w:tc>
      </w:tr>
    </w:tbl>
    <w:p w:rsidR="00895DD6" w:rsidRDefault="00895DD6">
      <w:pPr>
        <w:jc w:val="left"/>
      </w:pPr>
    </w:p>
    <w:p w:rsidR="00895DD6" w:rsidRDefault="00F31687">
      <w:pPr>
        <w:pStyle w:val="Heading4"/>
      </w:pPr>
      <w:r>
        <w:t>A754036 PRIPREMA PROJEKATA I PLANSKIH DOKUMENATA U UNUTARNJOJ PLOVIDBI</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A754036-PRIPREMA PROJEKATA I PLANSKIH DOKUMENATA U UNUTARNJOJ PLOVIDBI</w:t>
            </w:r>
          </w:p>
        </w:tc>
        <w:tc>
          <w:tcPr>
            <w:tcW w:w="2041" w:type="dxa"/>
          </w:tcPr>
          <w:p w:rsidR="00895DD6" w:rsidRDefault="00F31687">
            <w:pPr>
              <w:pStyle w:val="CellColumn"/>
              <w:jc w:val="right"/>
            </w:pPr>
            <w:r>
              <w:rPr>
                <w:rFonts w:cs="Times New Roman"/>
              </w:rPr>
              <w:t>41.125</w:t>
            </w:r>
          </w:p>
        </w:tc>
        <w:tc>
          <w:tcPr>
            <w:tcW w:w="2041" w:type="dxa"/>
          </w:tcPr>
          <w:p w:rsidR="00895DD6" w:rsidRDefault="00F31687">
            <w:pPr>
              <w:pStyle w:val="CellColumn"/>
              <w:jc w:val="right"/>
            </w:pPr>
            <w:r>
              <w:rPr>
                <w:rFonts w:cs="Times New Roman"/>
              </w:rPr>
              <w:t>110.626</w:t>
            </w:r>
          </w:p>
        </w:tc>
        <w:tc>
          <w:tcPr>
            <w:tcW w:w="2041" w:type="dxa"/>
          </w:tcPr>
          <w:p w:rsidR="00895DD6" w:rsidRDefault="00F31687">
            <w:pPr>
              <w:pStyle w:val="CellColumn"/>
              <w:jc w:val="right"/>
            </w:pPr>
            <w:r>
              <w:rPr>
                <w:rFonts w:cs="Times New Roman"/>
              </w:rPr>
              <w:t>77.938</w:t>
            </w:r>
          </w:p>
        </w:tc>
        <w:tc>
          <w:tcPr>
            <w:tcW w:w="1224" w:type="dxa"/>
          </w:tcPr>
          <w:p w:rsidR="00895DD6" w:rsidRDefault="00F31687">
            <w:pPr>
              <w:pStyle w:val="CellColumn"/>
              <w:jc w:val="right"/>
            </w:pPr>
            <w:r>
              <w:rPr>
                <w:rFonts w:cs="Times New Roman"/>
              </w:rPr>
              <w:t>70,5</w:t>
            </w:r>
          </w:p>
        </w:tc>
        <w:tc>
          <w:tcPr>
            <w:tcW w:w="1224" w:type="dxa"/>
          </w:tcPr>
          <w:p w:rsidR="00895DD6" w:rsidRDefault="00F31687">
            <w:pPr>
              <w:pStyle w:val="CellColumn"/>
              <w:jc w:val="right"/>
            </w:pPr>
            <w:r>
              <w:rPr>
                <w:rFonts w:cs="Times New Roman"/>
              </w:rPr>
              <w:t>189,5</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plovidbi i lukama unutarnjih voda  </w:t>
      </w:r>
    </w:p>
    <w:p w:rsidR="00895DD6" w:rsidRDefault="00F31687">
      <w:r>
        <w:t xml:space="preserve">- Strategija prometnog razvoja Republike Hrvatske za razdoblje od 2014. do 2030. godine </w:t>
      </w:r>
    </w:p>
    <w:p w:rsidR="00895DD6" w:rsidRDefault="00F31687">
      <w:r>
        <w:t>- Strategija razvitka riječnog prometa u Republici Hrvatskoj za razdoblje od 2022. do 2032</w:t>
      </w:r>
      <w:r>
        <w:t>. godine</w:t>
      </w:r>
    </w:p>
    <w:p w:rsidR="00895DD6" w:rsidRDefault="00F31687">
      <w:pPr>
        <w:pStyle w:val="Heading8"/>
        <w:jc w:val="left"/>
      </w:pPr>
      <w:r>
        <w:t>Opis aktivnosti</w:t>
      </w:r>
    </w:p>
    <w:p w:rsidR="00895DD6" w:rsidRDefault="00F31687">
      <w:r>
        <w:t xml:space="preserve">Tijekom 2025. godine na ovoj aktivnosti utrošena su sljedeća financijska sredstva: </w:t>
      </w:r>
    </w:p>
    <w:p w:rsidR="00895DD6" w:rsidRDefault="00F31687">
      <w:r>
        <w:t>- 32.250 EUR za izradu Akcijskog plana za provedbu Srednjoročnog plana razvitka vodnih putova, luka i pristaništa Republike Hrvatske za razdoblje d</w:t>
      </w:r>
      <w:r>
        <w:t xml:space="preserve">o 2028. godine, </w:t>
      </w:r>
    </w:p>
    <w:p w:rsidR="00895DD6" w:rsidRDefault="00F31687">
      <w:r>
        <w:t xml:space="preserve">- 44.437,50 EUR za Ugovor o izvršenju usluge izrade studijsko projektne dokumentacije za integralno uređenje korita rijeke Drave na dionici od rkm 0 do rkm 12,  </w:t>
      </w:r>
    </w:p>
    <w:p w:rsidR="00895DD6" w:rsidRDefault="00F31687">
      <w:r>
        <w:lastRenderedPageBreak/>
        <w:t>- 1.250 EUR za usluge pravnog savjetovanja u vezi izrade SGEI programa u brod</w:t>
      </w:r>
      <w:r>
        <w:t xml:space="preserve">arstvu. </w:t>
      </w:r>
    </w:p>
    <w:p w:rsidR="00895DD6" w:rsidRDefault="00F31687">
      <w:r>
        <w:t xml:space="preserve">Odstupanja ostvarene vrijednosti u odnosu na ciljanu vrijednost rezultat je dugotrajnih i kompliciranih postupaka </w:t>
      </w:r>
    </w:p>
    <w:p w:rsidR="00895DD6" w:rsidRDefault="00F31687">
      <w:r>
        <w:t>javne nabave.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pripremljenih/izrađenih projekata, planskih/strateških dokumenata</w:t>
            </w:r>
          </w:p>
        </w:tc>
        <w:tc>
          <w:tcPr>
            <w:tcW w:w="2551" w:type="dxa"/>
          </w:tcPr>
          <w:p w:rsidR="00895DD6" w:rsidRDefault="00F31687">
            <w:pPr>
              <w:pStyle w:val="CellColumn"/>
              <w:jc w:val="left"/>
            </w:pPr>
            <w:r>
              <w:rPr>
                <w:rFonts w:cs="Times New Roman"/>
              </w:rPr>
              <w:t>Priprema projekata i planskih dokumenta u svrhu povećanja razvoja prometne infrastrukure i sigurnosti plovidbe na unutarnjim vod</w:t>
            </w:r>
            <w:r>
              <w:rPr>
                <w:rFonts w:cs="Times New Roman"/>
              </w:rPr>
              <w:t>ama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3</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7</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A810015 POTPORA BRODARIMA UNUTARNJE PLOVIDBE U NACIONALNOM PRIJEVOZU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A810015-POTPORA BRODARIMA UNUTARNJE PLOVIDBE U NACIONALNOM PRIJEVOZU</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800.000</w:t>
            </w:r>
          </w:p>
        </w:tc>
        <w:tc>
          <w:tcPr>
            <w:tcW w:w="2041" w:type="dxa"/>
          </w:tcPr>
          <w:p w:rsidR="00895DD6" w:rsidRDefault="00F31687">
            <w:pPr>
              <w:pStyle w:val="CellColumn"/>
              <w:jc w:val="right"/>
            </w:pPr>
            <w:r>
              <w:rPr>
                <w:rFonts w:cs="Times New Roman"/>
              </w:rPr>
              <w:t>800.000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plovidbi i lukama unutarnjih voda; članak 2. </w:t>
      </w:r>
    </w:p>
    <w:p w:rsidR="00895DD6" w:rsidRDefault="00F31687">
      <w:r>
        <w:t xml:space="preserve">- Zakon o državnim potporama; članak 10. </w:t>
      </w:r>
    </w:p>
    <w:p w:rsidR="00895DD6" w:rsidRDefault="00F31687">
      <w:r>
        <w:t xml:space="preserve">- Uredba Komisije (EU) br.: 1407/2013 оd 18. prosinca 2013. o primjeni članaka 107. i 108. Ugovora o funkcioniranju Europske unije na de minimis potpore </w:t>
      </w:r>
    </w:p>
    <w:p w:rsidR="00895DD6" w:rsidRDefault="00F31687">
      <w:r>
        <w:t xml:space="preserve">- Uredba Komisije (EU) br.: 2020/972 оd 2. srpnja 2020. o izmjeni Uredbe (EU) br. 1407/2013 u pogledu </w:t>
      </w:r>
      <w:r>
        <w:t xml:space="preserve">njezina produljenja i o izmjeni Uredbe (EU) br. 651/2014 u pogledu njezina produljenja i odgovarajućih prilagodbi </w:t>
      </w:r>
    </w:p>
    <w:p w:rsidR="00895DD6" w:rsidRDefault="00F31687">
      <w:r>
        <w:t>- Uredba Komisije (EU) 2023/2831 od 13. prosinca 2023. o primjeni članaka 107. i 108. Ugovora o funkcioniranju Europske unije na de minimis p</w:t>
      </w:r>
      <w:r>
        <w:t xml:space="preserve">otpore </w:t>
      </w:r>
    </w:p>
    <w:p w:rsidR="00895DD6" w:rsidRDefault="00F31687">
      <w:r>
        <w:t xml:space="preserve">- Strategija razvitka riječnog prometa u Republici Hrvatskoj za razdoblje od 2022. do 2032. godine </w:t>
      </w:r>
    </w:p>
    <w:p w:rsidR="00895DD6" w:rsidRDefault="00F31687">
      <w:r>
        <w:t>- Srednjoročni plan razvitka vodnih putova, luka i pristaništa Republike Hrvatske za razdoblje od 2022. do 2031.</w:t>
      </w:r>
    </w:p>
    <w:p w:rsidR="00895DD6" w:rsidRDefault="00F31687">
      <w:pPr>
        <w:pStyle w:val="Heading8"/>
        <w:jc w:val="left"/>
      </w:pPr>
      <w:r>
        <w:t>Opis aktivnosti</w:t>
      </w:r>
    </w:p>
    <w:p w:rsidR="00895DD6" w:rsidRDefault="00F31687">
      <w:r>
        <w:t>U 2025. godini obja</w:t>
      </w:r>
      <w:r>
        <w:t>vljen je Javni poziv za dostavu zahtjeva za dodjelu de minimis potpora (potpora male vrijednosti) za ulaganja u djelatnosti prometa na unutarnjim vodama (rijekama, kanalima i jezerima). Cilj ovog Poziva je poboljšanje ekonomske učinkovitosti flote, povećan</w:t>
      </w:r>
      <w:r>
        <w:t xml:space="preserve">je razine sigurnosti plovidbe, zaštita članova posade i putnika na plovilima, osiguranje opstanka i očuvanje zaposlenosti, kao i zaštita okoliša, osobito vodnog tijela.  </w:t>
      </w:r>
    </w:p>
    <w:p w:rsidR="00895DD6" w:rsidRDefault="00F31687">
      <w:r>
        <w:t>Tijekom 2025. godine provedbom Javnog poziva potpisana su četiri ugovora ukupne vrije</w:t>
      </w:r>
      <w:r>
        <w:t>dnosti 800.000 EUR. Sukladno Odluci Vlade Republike Hrvatske o donošenju Programa dodjele de minimis potpora, time je dosegnut maksimalni iznos potpora predviđen za 2025. godinu, koji je ujedno u cijelosti realiziran</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w:t>
            </w:r>
            <w:r>
              <w: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Realizirani zahtjevi za sufinanciranje troškova brodara - godišnje</w:t>
            </w:r>
          </w:p>
        </w:tc>
        <w:tc>
          <w:tcPr>
            <w:tcW w:w="2551" w:type="dxa"/>
          </w:tcPr>
          <w:p w:rsidR="00895DD6" w:rsidRDefault="00F31687">
            <w:pPr>
              <w:pStyle w:val="CellColumn"/>
              <w:jc w:val="left"/>
            </w:pPr>
            <w:r>
              <w:rPr>
                <w:rFonts w:cs="Times New Roman"/>
              </w:rPr>
              <w:t>Ulaganjem u modernizaciju plovila značajno se doprinosi održivoj mobilnosti i zaštiti okoliša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5</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5</w:t>
            </w:r>
          </w:p>
        </w:tc>
        <w:tc>
          <w:tcPr>
            <w:tcW w:w="1020" w:type="dxa"/>
          </w:tcPr>
          <w:p w:rsidR="00895DD6" w:rsidRDefault="00F31687">
            <w:pPr>
              <w:pStyle w:val="CellColumn"/>
              <w:jc w:val="right"/>
            </w:pPr>
            <w:r>
              <w:rPr>
                <w:rFonts w:cs="Times New Roman"/>
              </w:rPr>
              <w:t>4</w:t>
            </w:r>
          </w:p>
        </w:tc>
      </w:tr>
    </w:tbl>
    <w:p w:rsidR="00895DD6" w:rsidRDefault="00895DD6">
      <w:pPr>
        <w:jc w:val="left"/>
      </w:pPr>
    </w:p>
    <w:p w:rsidR="00895DD6" w:rsidRDefault="00F31687">
      <w:pPr>
        <w:pStyle w:val="Heading4"/>
      </w:pPr>
      <w:r>
        <w:t>A821014 STIPENDIRANJE REDOVNIH STUDENATA I UČENIKA OBRAZOVNOG USMJERENJA IZ PODRUČJA UNUTARNJE PLOVIDBE, TE VJEŽBENIČKOG STAŽA BRODARACA UNUTARNJE PLOVIDBE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w:t>
            </w:r>
            <w:r>
              <w:rPr>
                <w:rFonts w:cs="Times New Roman"/>
              </w:rPr>
              <w:t>/plan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A821014-STIPENDIRANJE REDOVNIH STUDENATA I UČENIKA OBRAZOVNOG USMJERENJA IZ PODRUČJA UNUTARNJE PLOVIDBE, TE VJEŽBENIČKOG STAŽA BRODARACA UNUTARNJE PLOVIDBE</w:t>
            </w:r>
          </w:p>
        </w:tc>
        <w:tc>
          <w:tcPr>
            <w:tcW w:w="2041" w:type="dxa"/>
          </w:tcPr>
          <w:p w:rsidR="00895DD6" w:rsidRDefault="00F31687">
            <w:pPr>
              <w:pStyle w:val="CellColumn"/>
              <w:jc w:val="right"/>
            </w:pPr>
            <w:r>
              <w:rPr>
                <w:rFonts w:cs="Times New Roman"/>
              </w:rPr>
              <w:t>2.395</w:t>
            </w:r>
          </w:p>
        </w:tc>
        <w:tc>
          <w:tcPr>
            <w:tcW w:w="2041" w:type="dxa"/>
          </w:tcPr>
          <w:p w:rsidR="00895DD6" w:rsidRDefault="00F31687">
            <w:pPr>
              <w:pStyle w:val="CellColumn"/>
              <w:jc w:val="right"/>
            </w:pPr>
            <w:r>
              <w:rPr>
                <w:rFonts w:cs="Times New Roman"/>
              </w:rPr>
              <w:t>3.248</w:t>
            </w:r>
          </w:p>
        </w:tc>
        <w:tc>
          <w:tcPr>
            <w:tcW w:w="2041" w:type="dxa"/>
          </w:tcPr>
          <w:p w:rsidR="00895DD6" w:rsidRDefault="00F31687">
            <w:pPr>
              <w:pStyle w:val="CellColumn"/>
              <w:jc w:val="right"/>
            </w:pPr>
            <w:r>
              <w:rPr>
                <w:rFonts w:cs="Times New Roman"/>
              </w:rPr>
              <w:t>2.523</w:t>
            </w:r>
          </w:p>
        </w:tc>
        <w:tc>
          <w:tcPr>
            <w:tcW w:w="1224" w:type="dxa"/>
          </w:tcPr>
          <w:p w:rsidR="00895DD6" w:rsidRDefault="00F31687">
            <w:pPr>
              <w:pStyle w:val="CellColumn"/>
              <w:jc w:val="right"/>
            </w:pPr>
            <w:r>
              <w:rPr>
                <w:rFonts w:cs="Times New Roman"/>
              </w:rPr>
              <w:t>77,7</w:t>
            </w:r>
          </w:p>
        </w:tc>
        <w:tc>
          <w:tcPr>
            <w:tcW w:w="1224" w:type="dxa"/>
          </w:tcPr>
          <w:p w:rsidR="00895DD6" w:rsidRDefault="00F31687">
            <w:pPr>
              <w:pStyle w:val="CellColumn"/>
              <w:jc w:val="right"/>
            </w:pPr>
            <w:r>
              <w:rPr>
                <w:rFonts w:cs="Times New Roman"/>
              </w:rPr>
              <w:t>105,3</w:t>
            </w:r>
          </w:p>
        </w:tc>
      </w:tr>
    </w:tbl>
    <w:p w:rsidR="00895DD6" w:rsidRDefault="00895DD6">
      <w:pPr>
        <w:jc w:val="left"/>
      </w:pPr>
    </w:p>
    <w:p w:rsidR="00895DD6" w:rsidRDefault="00F31687">
      <w:pPr>
        <w:pStyle w:val="Heading8"/>
        <w:jc w:val="left"/>
      </w:pPr>
      <w:r>
        <w:t>Zakonske i druge pravne osnove</w:t>
      </w:r>
    </w:p>
    <w:p w:rsidR="00895DD6" w:rsidRDefault="00F31687">
      <w:r>
        <w:t>- Zakon o plovidbi i lukama unutarnjih voda; članak 2.</w:t>
      </w:r>
    </w:p>
    <w:p w:rsidR="00895DD6" w:rsidRDefault="00F31687">
      <w:pPr>
        <w:pStyle w:val="Heading8"/>
        <w:jc w:val="left"/>
      </w:pPr>
      <w:r>
        <w:t>Opis aktivnosti</w:t>
      </w:r>
    </w:p>
    <w:p w:rsidR="00895DD6" w:rsidRDefault="00F31687">
      <w:r>
        <w:t xml:space="preserve">Sredstva planirana u 2025. godini utrošena su za stipendiranje redovitih učenika i studenata obrazovnog usmjerenja iz područja unutarnje plovidbe. </w:t>
      </w:r>
    </w:p>
    <w:p w:rsidR="00895DD6" w:rsidRDefault="00F31687">
      <w:r>
        <w:t>U treć</w:t>
      </w:r>
      <w:r>
        <w:t>em kvartalu 2025. godine objavljen je natječaj za dodjelu stipendija učenicima i studentima navedenog obrazovnog usmjerenja za školsku/akademsku godinu 2025./2026. Visina stipendije utvrđena je natječajem te ovisi o ostvarenom uspjehu, u rasponu od 120 EUR</w:t>
      </w:r>
      <w:r>
        <w:t xml:space="preserve"> mjesečno za dobar uspjeh, 220 EUR mjesečno za vrlo dobar uspjeh te 320 EUR mjesečno za odličan uspjeh, tijekom trajanja školske odnosno akademske godine. </w:t>
      </w:r>
    </w:p>
    <w:p w:rsidR="00895DD6" w:rsidRDefault="00F31687">
      <w:r>
        <w:t xml:space="preserve">U školskoj/akademskoj godini 2025./2026. pravo na stipendiju ostvario je jedan student. Ukupan broj </w:t>
      </w:r>
      <w:r>
        <w:t>dodijeljenih stipendija u 2025. godini bio je nizak zbog slabog odaziva studenata na objavljeni natječaj za dodjelu stipendija.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Broj ukupno stipendiranih učenika/studenata</w:t>
            </w:r>
          </w:p>
        </w:tc>
        <w:tc>
          <w:tcPr>
            <w:tcW w:w="2551" w:type="dxa"/>
          </w:tcPr>
          <w:p w:rsidR="00895DD6" w:rsidRDefault="00F31687">
            <w:pPr>
              <w:pStyle w:val="CellColumn"/>
              <w:jc w:val="left"/>
            </w:pPr>
            <w:r>
              <w:rPr>
                <w:rFonts w:cs="Times New Roman"/>
              </w:rPr>
              <w:t>Edukacijom učenika/studenatapodručju riječnog prometadoprinosi se kvalitetnijemkadru u unutarnjojplovidbi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11</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K570297 RAD SAVSKE KOMISIJE TE SUDJELOVANJE U RADU MEĐUNARODNIH INSTITUCIJA S PODRUČJA UNUTARNJE PLOVIDBE</w:t>
      </w:r>
    </w:p>
    <w:tbl>
      <w:tblPr>
        <w:tblStyle w:val="StilTablice"/>
        <w:tblW w:w="10206" w:type="dxa"/>
        <w:jc w:val="center"/>
        <w:tblLook w:val="04A0" w:firstRow="1" w:lastRow="0" w:firstColumn="1" w:lastColumn="0" w:noHBand="0" w:noVBand="1"/>
      </w:tblPr>
      <w:tblGrid>
        <w:gridCol w:w="1771"/>
        <w:gridCol w:w="2001"/>
        <w:gridCol w:w="1999"/>
        <w:gridCol w:w="2001"/>
        <w:gridCol w:w="1215"/>
        <w:gridCol w:w="1219"/>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K570297-</w:t>
            </w:r>
            <w:r>
              <w:rPr>
                <w:rFonts w:cs="Times New Roman"/>
              </w:rPr>
              <w:t>RAD SAVSKE KOMISIJE TE SUDJELOVANJE U RADU MEĐUNARODNIH INSTITUCIJA S PODRUČJA UNUTARNJE PLOVIDBE</w:t>
            </w:r>
          </w:p>
        </w:tc>
        <w:tc>
          <w:tcPr>
            <w:tcW w:w="2041" w:type="dxa"/>
          </w:tcPr>
          <w:p w:rsidR="00895DD6" w:rsidRDefault="00F31687">
            <w:pPr>
              <w:pStyle w:val="CellColumn"/>
              <w:jc w:val="right"/>
            </w:pPr>
            <w:r>
              <w:rPr>
                <w:rFonts w:cs="Times New Roman"/>
              </w:rPr>
              <w:t>177.303</w:t>
            </w:r>
          </w:p>
        </w:tc>
        <w:tc>
          <w:tcPr>
            <w:tcW w:w="2041" w:type="dxa"/>
          </w:tcPr>
          <w:p w:rsidR="00895DD6" w:rsidRDefault="00F31687">
            <w:pPr>
              <w:pStyle w:val="CellColumn"/>
              <w:jc w:val="right"/>
            </w:pPr>
            <w:r>
              <w:rPr>
                <w:rFonts w:cs="Times New Roman"/>
              </w:rPr>
              <w:t>179.159</w:t>
            </w:r>
          </w:p>
        </w:tc>
        <w:tc>
          <w:tcPr>
            <w:tcW w:w="2041" w:type="dxa"/>
          </w:tcPr>
          <w:p w:rsidR="00895DD6" w:rsidRDefault="00F31687">
            <w:pPr>
              <w:pStyle w:val="CellColumn"/>
              <w:jc w:val="right"/>
            </w:pPr>
            <w:r>
              <w:rPr>
                <w:rFonts w:cs="Times New Roman"/>
              </w:rPr>
              <w:t>179.158</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101,0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Europski sporazum o međunarodnom prijevozu opasnih tvari unutarnjim plovnim putovima ADN  </w:t>
      </w:r>
    </w:p>
    <w:p w:rsidR="00895DD6" w:rsidRDefault="00F31687">
      <w:r>
        <w:t xml:space="preserve">- Konvencija o režimu plovidbe na Dunavu, dopunski protokol od 26.03.1998.  </w:t>
      </w:r>
    </w:p>
    <w:p w:rsidR="00895DD6" w:rsidRDefault="00F31687">
      <w:r>
        <w:t xml:space="preserve">- Okvirni sporazum o slivu rijeke Save potpisan 03.12.2002. godine  </w:t>
      </w:r>
    </w:p>
    <w:p w:rsidR="00895DD6" w:rsidRDefault="00F31687">
      <w:r>
        <w:t>- Europski ugovor</w:t>
      </w:r>
      <w:r>
        <w:t xml:space="preserve"> o glavnim unutarnjim plovnim putovima od međunarodnog značaja (AGN)  </w:t>
      </w:r>
    </w:p>
    <w:p w:rsidR="00895DD6" w:rsidRDefault="00F31687">
      <w:r>
        <w:t xml:space="preserve">- Zakon o plovidbi i lukama unutarnjih voda  </w:t>
      </w:r>
    </w:p>
    <w:p w:rsidR="00895DD6" w:rsidRDefault="00F31687">
      <w:r>
        <w:t>- Odluka o povećanju kontribucije 18.12.2018. (temeljem Okvirnog sporazuma o slivu rijeke Save, član 16. st.1(c))</w:t>
      </w:r>
    </w:p>
    <w:p w:rsidR="00895DD6" w:rsidRDefault="00F31687">
      <w:pPr>
        <w:pStyle w:val="Heading8"/>
        <w:jc w:val="left"/>
      </w:pPr>
      <w:r>
        <w:t>Opis aktivnosti</w:t>
      </w:r>
    </w:p>
    <w:p w:rsidR="00895DD6" w:rsidRDefault="00F31687">
      <w:r>
        <w:t xml:space="preserve">U 2025. godini utrošena su sredstva za potrebe najma poslovnog prostora u svrhu osiguranja smještaja Savske </w:t>
      </w:r>
    </w:p>
    <w:p w:rsidR="00895DD6" w:rsidRDefault="00F31687">
      <w:r>
        <w:t xml:space="preserve">komisije te za plaćanje režijskih troškova i kontribucija za članstvo RH u Savskoj komisiji. Osnovom ugovora o </w:t>
      </w:r>
    </w:p>
    <w:p w:rsidR="00895DD6" w:rsidRDefault="00F31687">
      <w:r>
        <w:t>sjedištu Komisije (Međunarodni ugov</w:t>
      </w:r>
      <w:r>
        <w:t>or broj 3/2006), potpisanog između Vlade Republike Hrvatske i Međunarodne komisije za sliv rijeke Save, propisano je da će Vlada RH osigurati pogodne i prikladne prostorije za rad Savske komisije i njezino Tajništvo u Zagrebu, bez naknade. Provedba ovog Ug</w:t>
      </w:r>
      <w:r>
        <w:t>ovora je u nadležnosti Ministarstva mora, prometa i infrastrukture.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Sudjelovanje na sjednicama Savske komisije</w:t>
            </w:r>
          </w:p>
        </w:tc>
        <w:tc>
          <w:tcPr>
            <w:tcW w:w="2551" w:type="dxa"/>
          </w:tcPr>
          <w:p w:rsidR="00895DD6" w:rsidRDefault="00F31687">
            <w:pPr>
              <w:pStyle w:val="CellColumn"/>
              <w:jc w:val="left"/>
            </w:pPr>
            <w:r>
              <w:rPr>
                <w:rFonts w:cs="Times New Roman"/>
              </w:rPr>
              <w:t xml:space="preserve">Sudjelovanjem na sjednicama Savske komisije Republika Hrvatska aktivno sudjeluje u  donošenju zajedničkih odluka, protokola u dijelu sigurne plovidbe rijekom Savom zajedno sa ostalim zemljama članicama </w:t>
            </w:r>
          </w:p>
          <w:p w:rsidR="00895DD6" w:rsidRDefault="00F31687">
            <w:pPr>
              <w:pStyle w:val="CellColumn"/>
              <w:jc w:val="left"/>
            </w:pPr>
            <w:r>
              <w:rPr>
                <w:rFonts w:cs="Times New Roman"/>
              </w:rPr>
              <w:t>Savske kom</w:t>
            </w:r>
            <w:r>
              <w:rPr>
                <w:rFonts w:cs="Times New Roman"/>
              </w:rPr>
              <w:t>isije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3</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w:t>
            </w:r>
          </w:p>
        </w:tc>
        <w:tc>
          <w:tcPr>
            <w:tcW w:w="1020" w:type="dxa"/>
          </w:tcPr>
          <w:p w:rsidR="00895DD6" w:rsidRDefault="00F31687">
            <w:pPr>
              <w:pStyle w:val="CellColumn"/>
              <w:jc w:val="right"/>
            </w:pPr>
            <w:r>
              <w:rPr>
                <w:rFonts w:cs="Times New Roman"/>
              </w:rPr>
              <w:t>3</w:t>
            </w:r>
          </w:p>
        </w:tc>
      </w:tr>
    </w:tbl>
    <w:p w:rsidR="00895DD6" w:rsidRDefault="00895DD6">
      <w:pPr>
        <w:jc w:val="left"/>
      </w:pPr>
    </w:p>
    <w:p w:rsidR="00895DD6" w:rsidRDefault="00F31687">
      <w:pPr>
        <w:pStyle w:val="Heading4"/>
      </w:pPr>
      <w:r>
        <w:t>K754068 EKO-REKUPA-REVITALIZACIJA RIJEKE KUPE ZA PUTNIČKU I SPORTSKU PLOVIDBU</w:t>
      </w:r>
    </w:p>
    <w:tbl>
      <w:tblPr>
        <w:tblStyle w:val="StilTablice"/>
        <w:tblW w:w="10206" w:type="dxa"/>
        <w:jc w:val="center"/>
        <w:tblLook w:val="04A0" w:firstRow="1" w:lastRow="0" w:firstColumn="1" w:lastColumn="0" w:noHBand="0" w:noVBand="1"/>
      </w:tblPr>
      <w:tblGrid>
        <w:gridCol w:w="1725"/>
        <w:gridCol w:w="2014"/>
        <w:gridCol w:w="2013"/>
        <w:gridCol w:w="2015"/>
        <w:gridCol w:w="1218"/>
        <w:gridCol w:w="1221"/>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K754068-EKO-REKUPA-REVITALIZACIJA RIJEKE KUPE ZA PUTNIČKU I SPORTSKU PLOVIDBU</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133.875</w:t>
            </w:r>
          </w:p>
        </w:tc>
        <w:tc>
          <w:tcPr>
            <w:tcW w:w="2041" w:type="dxa"/>
          </w:tcPr>
          <w:p w:rsidR="00895DD6" w:rsidRDefault="00F31687">
            <w:pPr>
              <w:pStyle w:val="CellColumn"/>
              <w:jc w:val="right"/>
            </w:pPr>
            <w:r>
              <w:rPr>
                <w:rFonts w:cs="Times New Roman"/>
              </w:rPr>
              <w:t>133.875</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Zakon o plovidbi i lukama unutarnjih voda</w:t>
      </w:r>
    </w:p>
    <w:p w:rsidR="00895DD6" w:rsidRDefault="00F31687">
      <w:pPr>
        <w:pStyle w:val="Heading8"/>
        <w:jc w:val="left"/>
      </w:pPr>
      <w:r>
        <w:t>Opis aktivnosti</w:t>
      </w:r>
    </w:p>
    <w:p w:rsidR="00895DD6" w:rsidRDefault="00F31687">
      <w:r>
        <w:t xml:space="preserve">Svrha provedbe projekta je razvoj unutarnjih plovnih puteva i turizma uz revitalizacija područja oko rijeke Kupe, koja vodi ka razvoju regija uz unutarnje plovne putove.  </w:t>
      </w:r>
    </w:p>
    <w:p w:rsidR="00895DD6" w:rsidRDefault="00F31687">
      <w:r>
        <w:t>U 2025. godini nastavljen je projekt kroz II. fazu, te su izvršene tri grupe aktivno</w:t>
      </w:r>
      <w:r>
        <w:t xml:space="preserve">sti za koja su utrošena financijska sredstva u iznosu od 133.875 EUR:  </w:t>
      </w:r>
    </w:p>
    <w:p w:rsidR="00895DD6" w:rsidRDefault="00F31687">
      <w:r>
        <w:t>1.</w:t>
      </w:r>
      <w:r>
        <w:tab/>
        <w:t xml:space="preserve">Izrada projektnih podloga s geodetskom snimkom lokacija zahvata u koritu planiranog plovnog puta, </w:t>
      </w:r>
    </w:p>
    <w:p w:rsidR="00895DD6" w:rsidRDefault="00F31687">
      <w:r>
        <w:t>2.</w:t>
      </w:r>
      <w:r>
        <w:tab/>
        <w:t>Izrada nacrta Studije utjecaja na okoliš s Glavnom ocjenom prihvatljivosti zahv</w:t>
      </w:r>
      <w:r>
        <w:t xml:space="preserve">ata na ekološku mrežu, </w:t>
      </w:r>
    </w:p>
    <w:p w:rsidR="00895DD6" w:rsidRDefault="00F31687">
      <w:r>
        <w:t>3.</w:t>
      </w:r>
      <w:r>
        <w:tab/>
        <w:t>Izrada programa i elaborata geotehničkih istražnih radova odnosno Geotehničke podloge za Glavni projekt.</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Izrađena projektna dokumentacija (Koncepcijsko rješenje, Idejni i Glavni projekt)</w:t>
            </w:r>
          </w:p>
        </w:tc>
        <w:tc>
          <w:tcPr>
            <w:tcW w:w="2551" w:type="dxa"/>
          </w:tcPr>
          <w:p w:rsidR="00895DD6" w:rsidRDefault="00F31687">
            <w:pPr>
              <w:pStyle w:val="CellColumn"/>
              <w:jc w:val="left"/>
            </w:pPr>
            <w:r>
              <w:rPr>
                <w:rFonts w:cs="Times New Roman"/>
              </w:rPr>
              <w:t>Izradom Koncepcijskog rješenja najvažnije dionice rijeke Kupe (Sredičko-Karlovac) za razvoj manjih pristaništa, uključujući i projektnu dokumentaciju za odabrane lokacije pristaništa, započet će revitalizacija područja oko rijeke Kupe i unapređenje plovnog</w:t>
            </w:r>
            <w:r>
              <w:rPr>
                <w:rFonts w:cs="Times New Roman"/>
              </w:rPr>
              <w:t xml:space="preserve"> puta uz prateću infrastrukturu.</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4"/>
      </w:pPr>
      <w:r>
        <w:lastRenderedPageBreak/>
        <w:t>K761084 CEF-FAIRWAY DANUBE 2-BUDUĆI KORACI ZA UNAPRJEĐENJE PLOVIDBE NA DUNAVU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K761084-CEF-FAIRWAY DANUBE 2-BUDUĆI KORACI ZA UNAPRJEĐENJE PLOVIDBE NA DUNAVU</w:t>
            </w:r>
          </w:p>
        </w:tc>
        <w:tc>
          <w:tcPr>
            <w:tcW w:w="2041" w:type="dxa"/>
          </w:tcPr>
          <w:p w:rsidR="00895DD6" w:rsidRDefault="00F31687">
            <w:pPr>
              <w:pStyle w:val="CellColumn"/>
              <w:jc w:val="right"/>
            </w:pPr>
            <w:r>
              <w:rPr>
                <w:rFonts w:cs="Times New Roman"/>
              </w:rPr>
              <w:t>5.261</w:t>
            </w:r>
          </w:p>
        </w:tc>
        <w:tc>
          <w:tcPr>
            <w:tcW w:w="2041" w:type="dxa"/>
          </w:tcPr>
          <w:p w:rsidR="00895DD6" w:rsidRDefault="00F31687">
            <w:pPr>
              <w:pStyle w:val="CellColumn"/>
              <w:jc w:val="right"/>
            </w:pPr>
            <w:r>
              <w:rPr>
                <w:rFonts w:cs="Times New Roman"/>
              </w:rPr>
              <w:t>1.362.297</w:t>
            </w:r>
          </w:p>
        </w:tc>
        <w:tc>
          <w:tcPr>
            <w:tcW w:w="2041" w:type="dxa"/>
          </w:tcPr>
          <w:p w:rsidR="00895DD6" w:rsidRDefault="00F31687">
            <w:pPr>
              <w:pStyle w:val="CellColumn"/>
              <w:jc w:val="right"/>
            </w:pPr>
            <w:r>
              <w:rPr>
                <w:rFonts w:cs="Times New Roman"/>
              </w:rPr>
              <w:t>1.185.734</w:t>
            </w:r>
          </w:p>
        </w:tc>
        <w:tc>
          <w:tcPr>
            <w:tcW w:w="1224" w:type="dxa"/>
          </w:tcPr>
          <w:p w:rsidR="00895DD6" w:rsidRDefault="00F31687">
            <w:pPr>
              <w:pStyle w:val="CellColumn"/>
              <w:jc w:val="right"/>
            </w:pPr>
            <w:r>
              <w:rPr>
                <w:rFonts w:cs="Times New Roman"/>
              </w:rPr>
              <w:t>87,0</w:t>
            </w:r>
          </w:p>
        </w:tc>
        <w:tc>
          <w:tcPr>
            <w:tcW w:w="1224" w:type="dxa"/>
          </w:tcPr>
          <w:p w:rsidR="00895DD6" w:rsidRDefault="00F31687">
            <w:pPr>
              <w:pStyle w:val="CellColumn"/>
              <w:jc w:val="right"/>
            </w:pPr>
            <w:r>
              <w:rPr>
                <w:rFonts w:cs="Times New Roman"/>
              </w:rPr>
              <w:t>22539,9</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uspostavi institucionalnog okvira za provedbu europskih strukturnih i investicijskih fondova u Republici Hrvatskoj u financijskom razdoblju 2014.-2020 </w:t>
      </w:r>
    </w:p>
    <w:p w:rsidR="00895DD6" w:rsidRDefault="00F31687">
      <w:r>
        <w:t>- Zakon o plovidbi i  lukama unutarnjih voda, članak 145., stavak 3.</w:t>
      </w:r>
    </w:p>
    <w:p w:rsidR="00895DD6" w:rsidRDefault="00F31687">
      <w:pPr>
        <w:pStyle w:val="Heading8"/>
        <w:jc w:val="left"/>
      </w:pPr>
      <w:r>
        <w:t>Opis aktivnosti</w:t>
      </w:r>
    </w:p>
    <w:p w:rsidR="00895DD6" w:rsidRDefault="00F31687">
      <w:r>
        <w:t>Višekoris</w:t>
      </w:r>
      <w:r>
        <w:t>nički projekt „FAIRway Danube II odobren je za EU sufinanciranje unutar CEF 2021. – 2027. poziva u području prometa službene oznake GAP-101122576 - 22-EU-TG-FAIRway Danube II. Ministarstvo mora, prometa i infrastrukture sudjeluje na projektu zajedno s part</w:t>
      </w:r>
      <w:r>
        <w:t xml:space="preserve">nerima iz Lučke uprave Vukovar te administracijama zaduženim za upravljanje vodnim putovima: viadonau iz Austrije, SVP iz Slovačke, OVF iz Mađarske, AFDJ i ACN iz Rumunjske i APPD iz Bugarske.  Planirani završetak projekta je 31.12.2027. godine.  </w:t>
      </w:r>
    </w:p>
    <w:p w:rsidR="00895DD6" w:rsidRDefault="00F31687">
      <w:r>
        <w:t>Unutar p</w:t>
      </w:r>
      <w:r>
        <w:t xml:space="preserve">rojekta planiraju se sljedeće aktivnosti:   </w:t>
      </w:r>
    </w:p>
    <w:p w:rsidR="00895DD6" w:rsidRDefault="00F31687">
      <w:r>
        <w:t xml:space="preserve">-izrada periodičnih Izvješća o stanju vodnih putova koja će predstavljati put ka ostvarenju ciljeva iz Master plana za održavanje i rehabilitaciju plovnih putova, </w:t>
      </w:r>
    </w:p>
    <w:p w:rsidR="00895DD6" w:rsidRDefault="00F31687">
      <w:r>
        <w:t>-nabavka opreme za snimanje i obilježavanje plo</w:t>
      </w:r>
      <w:r>
        <w:t>vnog puta te praćenje stanja plovnog puta (nabavka AIS plutača, zemaljskog laserskog skenera koji radi na lidar 3D tehnologiji, nabavka novih softvera, nabavka drona sa jednosnopnim dubinomjerom za snimanje plićaka, nabavka rtks zračnog drona) a u svrhu os</w:t>
      </w:r>
      <w:r>
        <w:t xml:space="preserve">tvarivanja dobrih uvjeta plovidbe,   </w:t>
      </w:r>
    </w:p>
    <w:p w:rsidR="00895DD6" w:rsidRDefault="00F31687">
      <w:r>
        <w:t xml:space="preserve">-daljnji razvoj nacionalnog sustava za upravljanje plovnim putovima (WAMS) i transnacionalnog monitoring sustava (WAMOS), </w:t>
      </w:r>
    </w:p>
    <w:p w:rsidR="00895DD6" w:rsidRDefault="00F31687">
      <w:r>
        <w:t>-pilot aktivnosti „Mobilni infrastrukturni elementi“ koje će doprinijeti smanjenju troškova teh</w:t>
      </w:r>
      <w:r>
        <w:t xml:space="preserve">ničkog održavanja plovnog puta rijeke Dunav.  </w:t>
      </w:r>
    </w:p>
    <w:p w:rsidR="00895DD6" w:rsidRDefault="00F31687">
      <w:r>
        <w:t xml:space="preserve">Unutar navedene aktivnosti u 2025. godini su utrošeni sljedeći rashodi: </w:t>
      </w:r>
    </w:p>
    <w:p w:rsidR="00895DD6" w:rsidRDefault="00F31687">
      <w:r>
        <w:t xml:space="preserve">- za isplatu plaća u iznosu od 58.113 EUR;  </w:t>
      </w:r>
    </w:p>
    <w:p w:rsidR="00895DD6" w:rsidRDefault="00F31687">
      <w:r>
        <w:t xml:space="preserve">- za isplatu putnih troškova članova projektnog tima u iznosu od 4.657 EUR; </w:t>
      </w:r>
    </w:p>
    <w:p w:rsidR="00895DD6" w:rsidRDefault="00F31687">
      <w:r>
        <w:t>- za usluge po</w:t>
      </w:r>
      <w:r>
        <w:t xml:space="preserve">stavljanja mobilnih infrastrukturnih elemenata u iznosu od 296.781 EUR; </w:t>
      </w:r>
    </w:p>
    <w:p w:rsidR="00895DD6" w:rsidRDefault="00F31687">
      <w:r>
        <w:t xml:space="preserve">- za usluge praćenja (monitoringa) promjena u rijeci uslijed djelovanja mobilnih infrastrukturnih elemenata u iznosu od 148.125,7 EUR; </w:t>
      </w:r>
    </w:p>
    <w:p w:rsidR="00895DD6" w:rsidRDefault="00F31687">
      <w:r>
        <w:t xml:space="preserve">- za usluge nadzora stručnjaka koji vrši nadzor mobilnih infrastrukturnih elemenata u vidu strukturne čvrstoće i stabilnosti,  u iznosu od 3.237,5 EUR. </w:t>
      </w:r>
    </w:p>
    <w:p w:rsidR="00895DD6" w:rsidRDefault="00F31687">
      <w:r>
        <w:t>Unutar navedene aktivnosti u 2025. godini su utrošeni kapitalni rashodi za nabavu opreme za obilježavan</w:t>
      </w:r>
      <w:r>
        <w:t xml:space="preserve">je plovnih putova u iznosu od 664.183,4 EUR. </w:t>
      </w:r>
    </w:p>
    <w:p w:rsidR="00895DD6" w:rsidRDefault="00F31687">
      <w:r>
        <w:t>Razlika između planiranog iznosa i ostvarenja tijekom 2025. godine nastala je zbog kašnjenja u postupku zajedničke nabave za ugovaranje usluge mobilnih infrastrukturnih elemenata. Postupak je provodio vodeći pa</w:t>
      </w:r>
      <w:r>
        <w:t xml:space="preserve">rtner iz Beča za </w:t>
      </w:r>
      <w:r>
        <w:lastRenderedPageBreak/>
        <w:t>zemlje Hrvatsku, Rumunjsku i Bugarsku, a ugovor je sklopljen četiri mjeseca kasnije od planiranog, odnosno u rujnu 2025. godine. Zbog navedenog nije bilo moguće realizirati planirana sredstva do kraja 2025. godine. Dio aktivnosti koji je b</w:t>
      </w:r>
      <w:r>
        <w:t>io planiran za provedbu tijekom 2025. godine nastavljen je tijekom 2026. godine, slijedom čega planirana sredstva nisu mogla biti u cijelosti izvršena u 2025. godini.</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w:t>
            </w:r>
            <w:r>
              <w:rPr>
                <w:rFonts w:cs="Times New Roman"/>
              </w:rPr>
              <w:t>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Stupanj provedbe pilot aktivnosti „Mobilni infrastrukturni elementi“</w:t>
            </w:r>
          </w:p>
        </w:tc>
        <w:tc>
          <w:tcPr>
            <w:tcW w:w="2551" w:type="dxa"/>
          </w:tcPr>
          <w:p w:rsidR="00895DD6" w:rsidRDefault="00F31687">
            <w:pPr>
              <w:pStyle w:val="CellColumn"/>
              <w:jc w:val="left"/>
            </w:pPr>
            <w:r>
              <w:rPr>
                <w:rFonts w:cs="Times New Roman"/>
              </w:rPr>
              <w:t>Mobilni elementi u obliku natovarenih teglenica/barži biti će strateški postavljenje na ušće rijeke Drave i sidrene u kori</w:t>
            </w:r>
            <w:r>
              <w:rPr>
                <w:rFonts w:cs="Times New Roman"/>
              </w:rPr>
              <w:t>to rijeke sidrima, a u svrhu osiguranja dodatne dubine plovnog puta u slučaju niskog vodostaja, što se postiže stvaranjem većih brzina protoka koji prenose sediment dalje od plićaka, odnosno spruda. Ovom metodom koristi se isključivo dinamika rijeke te dod</w:t>
            </w:r>
            <w:r>
              <w:rPr>
                <w:rFonts w:cs="Times New Roman"/>
              </w:rPr>
              <w:t>atne intervencije u vidu jaružanja nisu potrebne.</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30</w:t>
            </w:r>
          </w:p>
        </w:tc>
        <w:tc>
          <w:tcPr>
            <w:tcW w:w="1020" w:type="dxa"/>
          </w:tcPr>
          <w:p w:rsidR="00895DD6" w:rsidRDefault="00F31687">
            <w:pPr>
              <w:pStyle w:val="CellColumn"/>
              <w:jc w:val="right"/>
            </w:pPr>
            <w:r>
              <w:rPr>
                <w:rFonts w:cs="Times New Roman"/>
              </w:rPr>
              <w:t>24</w:t>
            </w:r>
          </w:p>
        </w:tc>
      </w:tr>
    </w:tbl>
    <w:p w:rsidR="00895DD6" w:rsidRDefault="00895DD6">
      <w:pPr>
        <w:jc w:val="left"/>
      </w:pPr>
    </w:p>
    <w:p w:rsidR="00895DD6" w:rsidRDefault="00F31687">
      <w:pPr>
        <w:pStyle w:val="Heading4"/>
      </w:pPr>
      <w:r>
        <w:t>K810001 GRADNJA I TEHNIČKO ODRŽAVANJE PLOVNIH PUTOVA UNUTARNJIH VODA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K810001-GRADNJA I TEHNIČKO ODRŽAVANJE PLOVNIH PUTOVA UNUTARNJIH VODA</w:t>
            </w:r>
          </w:p>
        </w:tc>
        <w:tc>
          <w:tcPr>
            <w:tcW w:w="2041" w:type="dxa"/>
          </w:tcPr>
          <w:p w:rsidR="00895DD6" w:rsidRDefault="00F31687">
            <w:pPr>
              <w:pStyle w:val="CellColumn"/>
              <w:jc w:val="right"/>
            </w:pPr>
            <w:r>
              <w:rPr>
                <w:rFonts w:cs="Times New Roman"/>
              </w:rPr>
              <w:t>2.321.848</w:t>
            </w:r>
          </w:p>
        </w:tc>
        <w:tc>
          <w:tcPr>
            <w:tcW w:w="2041" w:type="dxa"/>
          </w:tcPr>
          <w:p w:rsidR="00895DD6" w:rsidRDefault="00F31687">
            <w:pPr>
              <w:pStyle w:val="CellColumn"/>
              <w:jc w:val="right"/>
            </w:pPr>
            <w:r>
              <w:rPr>
                <w:rFonts w:cs="Times New Roman"/>
              </w:rPr>
              <w:t>1.739.270</w:t>
            </w:r>
          </w:p>
        </w:tc>
        <w:tc>
          <w:tcPr>
            <w:tcW w:w="2041" w:type="dxa"/>
          </w:tcPr>
          <w:p w:rsidR="00895DD6" w:rsidRDefault="00F31687">
            <w:pPr>
              <w:pStyle w:val="CellColumn"/>
              <w:jc w:val="right"/>
            </w:pPr>
            <w:r>
              <w:rPr>
                <w:rFonts w:cs="Times New Roman"/>
              </w:rPr>
              <w:t>1.562.509</w:t>
            </w:r>
          </w:p>
        </w:tc>
        <w:tc>
          <w:tcPr>
            <w:tcW w:w="1224" w:type="dxa"/>
          </w:tcPr>
          <w:p w:rsidR="00895DD6" w:rsidRDefault="00F31687">
            <w:pPr>
              <w:pStyle w:val="CellColumn"/>
              <w:jc w:val="right"/>
            </w:pPr>
            <w:r>
              <w:rPr>
                <w:rFonts w:cs="Times New Roman"/>
              </w:rPr>
              <w:t>89,8</w:t>
            </w:r>
          </w:p>
        </w:tc>
        <w:tc>
          <w:tcPr>
            <w:tcW w:w="1224" w:type="dxa"/>
          </w:tcPr>
          <w:p w:rsidR="00895DD6" w:rsidRDefault="00F31687">
            <w:pPr>
              <w:pStyle w:val="CellColumn"/>
              <w:jc w:val="right"/>
            </w:pPr>
            <w:r>
              <w:rPr>
                <w:rFonts w:cs="Times New Roman"/>
              </w:rPr>
              <w:t>67,3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plovidbi i lukama unutarnjih voda; članak 145., stavak 3. </w:t>
      </w:r>
    </w:p>
    <w:p w:rsidR="00895DD6" w:rsidRDefault="00F31687">
      <w:r>
        <w:t>- Pravilnik o tehničkom održavanju vodnih putova; članak 3.</w:t>
      </w:r>
    </w:p>
    <w:p w:rsidR="00895DD6" w:rsidRDefault="00F31687">
      <w:pPr>
        <w:pStyle w:val="Heading8"/>
        <w:jc w:val="left"/>
      </w:pPr>
      <w:r>
        <w:t>Opis aktivnosti</w:t>
      </w:r>
    </w:p>
    <w:p w:rsidR="00895DD6" w:rsidRDefault="00F31687">
      <w:r>
        <w:t xml:space="preserve">Tijekom 2025. godine obavljeni su radovi tehničkog održavanja kinete plovnog puta u svrhu održavanja plovnosti </w:t>
      </w:r>
    </w:p>
    <w:p w:rsidR="00895DD6" w:rsidRDefault="00F31687">
      <w:r>
        <w:t>Dunava, Drave i Save te je obavljeno održavanje i obilježavanje građ</w:t>
      </w:r>
      <w:r>
        <w:t xml:space="preserve">evina za poboljšanje uvjeta plovidbe (usluge </w:t>
      </w:r>
    </w:p>
    <w:p w:rsidR="00895DD6" w:rsidRDefault="00F31687">
      <w:r>
        <w:t xml:space="preserve">popravaka vodnih oznaka i izrada novih oznaka) uz obilježavanje plovnih putova. Za navedene radove i usluge </w:t>
      </w:r>
    </w:p>
    <w:p w:rsidR="00895DD6" w:rsidRDefault="00F31687">
      <w:r>
        <w:t xml:space="preserve">utrošen je iznos od 1.232.525,00 EUR. </w:t>
      </w:r>
    </w:p>
    <w:p w:rsidR="00895DD6" w:rsidRDefault="00F31687">
      <w:r>
        <w:t xml:space="preserve"> </w:t>
      </w:r>
    </w:p>
    <w:p w:rsidR="00895DD6" w:rsidRDefault="00F31687">
      <w:r>
        <w:t>Pored gore navedenih radova i usluga, sredstvima s ovog proj</w:t>
      </w:r>
      <w:r>
        <w:t xml:space="preserve">ekta izrađeni su sljedeći dokumenti odnosno obavljene </w:t>
      </w:r>
    </w:p>
    <w:p w:rsidR="00895DD6" w:rsidRDefault="00F31687">
      <w:r>
        <w:lastRenderedPageBreak/>
        <w:t xml:space="preserve">sljedeće usluge: </w:t>
      </w:r>
    </w:p>
    <w:p w:rsidR="00895DD6" w:rsidRDefault="00F31687">
      <w:r>
        <w:t xml:space="preserve">- Stručni nadzor radova tehničkog održavanja na rijeci Savi u iznosu od 3.314.70 EUR </w:t>
      </w:r>
    </w:p>
    <w:p w:rsidR="00895DD6" w:rsidRDefault="00F31687">
      <w:r>
        <w:t xml:space="preserve">- stručni nadzor radova tehničkog održavanja na rijeci Dravi I Dunavu u iznosu od 6.300 EUR </w:t>
      </w:r>
    </w:p>
    <w:p w:rsidR="00895DD6" w:rsidRDefault="00F31687">
      <w:r>
        <w:t>- El</w:t>
      </w:r>
      <w:r>
        <w:t xml:space="preserve">aborat praćenja morfoloških promjena rijeke Drave na dionicama ušće rijeke Drave u Dunav i prokopa Nemetin </w:t>
      </w:r>
    </w:p>
    <w:p w:rsidR="00895DD6" w:rsidRDefault="00F31687">
      <w:r>
        <w:t xml:space="preserve">   u iznosu od 66.112,55 EUR </w:t>
      </w:r>
    </w:p>
    <w:p w:rsidR="00895DD6" w:rsidRDefault="00F31687">
      <w:r>
        <w:t xml:space="preserve">- Hidrografsko snimanje i izrada elaborata tehničkog održavanja plovnog puta te interventnih radova po nalogu </w:t>
      </w:r>
    </w:p>
    <w:p w:rsidR="00895DD6" w:rsidRDefault="00F31687">
      <w:r>
        <w:t>inspekc</w:t>
      </w:r>
      <w:r>
        <w:t xml:space="preserve">ije na rijeci Savi - elaborati u iznosu od 11.165 EUR </w:t>
      </w:r>
    </w:p>
    <w:p w:rsidR="00895DD6" w:rsidRDefault="00F31687">
      <w:r>
        <w:t xml:space="preserve">-  usluge popravaka i servisa brodova za nadzor vodnih putova u iznosu od 98.061,74 EUR </w:t>
      </w:r>
    </w:p>
    <w:p w:rsidR="00895DD6" w:rsidRDefault="00F31687">
      <w:r>
        <w:t xml:space="preserve">- usluge servisa opreme za snimanje vodnih putova u iznosu od 5.062,50 EUR </w:t>
      </w:r>
    </w:p>
    <w:p w:rsidR="00895DD6" w:rsidRDefault="00F31687">
      <w:r>
        <w:t>- monitoring nanosa između vodnih gr</w:t>
      </w:r>
      <w:r>
        <w:t xml:space="preserve">ađevina na lokaciji Sotin u iznosu od 32.500,00 EUR </w:t>
      </w:r>
    </w:p>
    <w:p w:rsidR="00895DD6" w:rsidRDefault="00F31687">
      <w:r>
        <w:t xml:space="preserve">- redovni pregledi plovila u iznosu od 6.720,85 EUR </w:t>
      </w:r>
    </w:p>
    <w:p w:rsidR="00895DD6" w:rsidRDefault="00F31687">
      <w:r>
        <w:t xml:space="preserve">- usluge korištenja veza za plovilo UNA u Sisku u iznosu od 7.488,75 EUR </w:t>
      </w:r>
    </w:p>
    <w:p w:rsidR="00895DD6" w:rsidRDefault="00F31687">
      <w:r>
        <w:t xml:space="preserve">- usluge održavanja dizala u zgradi u Vukovaru u iznosu od 2.874,35 EUR </w:t>
      </w:r>
    </w:p>
    <w:p w:rsidR="00895DD6" w:rsidRDefault="00F31687">
      <w:r>
        <w:t xml:space="preserve">  </w:t>
      </w:r>
    </w:p>
    <w:p w:rsidR="00895DD6" w:rsidRDefault="00F31687">
      <w:r>
        <w:t>Do odstupanja od planiranog iznosa je došlo uslijed nepovoljnih hidroloških uvjeta odnosno ekstremno niskih vodostaja koji su onemogućavali izvođenje radova tehničkog održavanja u razdoblju od srpnja do studenog 2025. godine.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w:t>
            </w:r>
            <w:r>
              <w:t>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rkm vodnih putova uređenih na deklariranu klasu plovnosti</w:t>
            </w:r>
          </w:p>
        </w:tc>
        <w:tc>
          <w:tcPr>
            <w:tcW w:w="2551" w:type="dxa"/>
          </w:tcPr>
          <w:p w:rsidR="00895DD6" w:rsidRDefault="00F31687">
            <w:pPr>
              <w:pStyle w:val="CellColumn"/>
              <w:jc w:val="left"/>
            </w:pPr>
            <w:r>
              <w:rPr>
                <w:rFonts w:cs="Times New Roman"/>
              </w:rPr>
              <w:t>Vodni putovi uređeni na deklariranu klasu plovnosti su vodni putovi koji udovoljavaju svim parametrima definiranim međunarodnim ili nacionalnim propisima ovisno o vrsti vodnog puta (međunarodni ili nacionalni)</w:t>
            </w:r>
          </w:p>
        </w:tc>
        <w:tc>
          <w:tcPr>
            <w:tcW w:w="1020" w:type="dxa"/>
          </w:tcPr>
          <w:p w:rsidR="00895DD6" w:rsidRDefault="00F31687">
            <w:pPr>
              <w:pStyle w:val="CellColumn"/>
              <w:jc w:val="right"/>
            </w:pPr>
            <w:r>
              <w:rPr>
                <w:rFonts w:cs="Times New Roman"/>
              </w:rPr>
              <w:t>rkm</w:t>
            </w:r>
          </w:p>
        </w:tc>
        <w:tc>
          <w:tcPr>
            <w:tcW w:w="1020" w:type="dxa"/>
          </w:tcPr>
          <w:p w:rsidR="00895DD6" w:rsidRDefault="00F31687">
            <w:pPr>
              <w:pStyle w:val="CellColumn"/>
              <w:jc w:val="right"/>
            </w:pPr>
            <w:r>
              <w:rPr>
                <w:rFonts w:cs="Times New Roman"/>
              </w:rPr>
              <w:t>474</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474</w:t>
            </w:r>
          </w:p>
        </w:tc>
        <w:tc>
          <w:tcPr>
            <w:tcW w:w="1020" w:type="dxa"/>
          </w:tcPr>
          <w:p w:rsidR="00895DD6" w:rsidRDefault="00F31687">
            <w:pPr>
              <w:pStyle w:val="CellColumn"/>
              <w:jc w:val="right"/>
            </w:pPr>
            <w:r>
              <w:rPr>
                <w:rFonts w:cs="Times New Roman"/>
              </w:rPr>
              <w:t>474</w:t>
            </w:r>
          </w:p>
        </w:tc>
      </w:tr>
    </w:tbl>
    <w:p w:rsidR="00895DD6" w:rsidRDefault="00895DD6">
      <w:pPr>
        <w:jc w:val="left"/>
      </w:pPr>
    </w:p>
    <w:p w:rsidR="00895DD6" w:rsidRDefault="00F31687">
      <w:pPr>
        <w:pStyle w:val="Heading3"/>
      </w:pPr>
      <w:r>
        <w:rPr>
          <w:rFonts w:cs="Times New Roman"/>
        </w:rPr>
        <w:t>3116 RAZVOJ SUSTAVA POMORSKOG PROMETA, POMORSKOG DOBRA I LUKA, TE ZAŠTITA OKOLIŠA OD ONEČIŠĆENJA S POMORSKIH OBJEKATA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lastRenderedPageBreak/>
              <w:t>3116-RAZVOJ S</w:t>
            </w:r>
            <w:r>
              <w:rPr>
                <w:rFonts w:cs="Times New Roman"/>
              </w:rPr>
              <w:t>USTAVA POMORSKOG PROMETA, POMORSKOG DOBRA I LUKA, TE ZAŠTITA OKOLIŠA OD ONEČIŠĆENJA S POMORSKIH OBJEKATA</w:t>
            </w:r>
          </w:p>
        </w:tc>
        <w:tc>
          <w:tcPr>
            <w:tcW w:w="2041" w:type="dxa"/>
          </w:tcPr>
          <w:p w:rsidR="00895DD6" w:rsidRDefault="00F31687">
            <w:pPr>
              <w:pStyle w:val="CellColumn"/>
              <w:jc w:val="right"/>
            </w:pPr>
            <w:r>
              <w:rPr>
                <w:rFonts w:cs="Times New Roman"/>
              </w:rPr>
              <w:t>16.960.846</w:t>
            </w:r>
          </w:p>
        </w:tc>
        <w:tc>
          <w:tcPr>
            <w:tcW w:w="2041" w:type="dxa"/>
          </w:tcPr>
          <w:p w:rsidR="00895DD6" w:rsidRDefault="00F31687">
            <w:pPr>
              <w:pStyle w:val="CellColumn"/>
              <w:jc w:val="right"/>
            </w:pPr>
            <w:r>
              <w:rPr>
                <w:rFonts w:cs="Times New Roman"/>
              </w:rPr>
              <w:t>16.670.741</w:t>
            </w:r>
          </w:p>
        </w:tc>
        <w:tc>
          <w:tcPr>
            <w:tcW w:w="2041" w:type="dxa"/>
          </w:tcPr>
          <w:p w:rsidR="00895DD6" w:rsidRDefault="00F31687">
            <w:pPr>
              <w:pStyle w:val="CellColumn"/>
              <w:jc w:val="right"/>
            </w:pPr>
            <w:r>
              <w:rPr>
                <w:rFonts w:cs="Times New Roman"/>
              </w:rPr>
              <w:t>16.485.354</w:t>
            </w:r>
          </w:p>
        </w:tc>
        <w:tc>
          <w:tcPr>
            <w:tcW w:w="1224" w:type="dxa"/>
          </w:tcPr>
          <w:p w:rsidR="00895DD6" w:rsidRDefault="00F31687">
            <w:pPr>
              <w:pStyle w:val="CellColumn"/>
              <w:jc w:val="right"/>
            </w:pPr>
            <w:r>
              <w:rPr>
                <w:rFonts w:cs="Times New Roman"/>
              </w:rPr>
              <w:t>98,9</w:t>
            </w:r>
          </w:p>
        </w:tc>
        <w:tc>
          <w:tcPr>
            <w:tcW w:w="1224" w:type="dxa"/>
          </w:tcPr>
          <w:p w:rsidR="00895DD6" w:rsidRDefault="00F31687">
            <w:pPr>
              <w:pStyle w:val="CellColumn"/>
              <w:jc w:val="right"/>
            </w:pPr>
            <w:r>
              <w:rPr>
                <w:rFonts w:cs="Times New Roman"/>
              </w:rPr>
              <w:t>97,2</w:t>
            </w:r>
          </w:p>
        </w:tc>
      </w:tr>
    </w:tbl>
    <w:p w:rsidR="00895DD6" w:rsidRDefault="00895DD6">
      <w:pPr>
        <w:jc w:val="left"/>
      </w:pPr>
    </w:p>
    <w:p w:rsidR="00895DD6" w:rsidRDefault="00F31687">
      <w:pPr>
        <w:pStyle w:val="Heading8"/>
        <w:jc w:val="left"/>
      </w:pPr>
      <w:r>
        <w:t>Cilj 1. Unaprijediti sustav pomorskog prometa te učinkovito i sustavno upravljati pomorskim dobrom</w:t>
      </w:r>
    </w:p>
    <w:p w:rsidR="00895DD6" w:rsidRDefault="00F31687">
      <w:pPr>
        <w:pStyle w:val="Heading8"/>
        <w:jc w:val="left"/>
      </w:pPr>
      <w:r>
        <w:t>Opis provedbe cilja programa</w:t>
      </w:r>
    </w:p>
    <w:p w:rsidR="00895DD6" w:rsidRDefault="00F31687">
      <w:r>
        <w:t>Učinkovit prometni sustav je jedan od temeljnih uvjeta za uspješan gospodarski razvoj svake suvremene države. Istovremeno, prometni sustav predstavlja i čimbenik koji je od presudne važnosti u pogledu približavanja i povezivanj</w:t>
      </w:r>
      <w:r>
        <w:t>a Republike Hrvatske s drugim europskim državama. Države s jasno razvijenom pomorskom politikom, koja je stavljena u funkciju gospodarskog razvoja, imaju posebne pogodnosti zbog različitih djelatnosti unutar tog sustava i iznimno velikog multiplikativnog f</w:t>
      </w:r>
      <w:r>
        <w:t>aktora pojedinih djelatnosti pomorskog gospodarstva. S tog stanovišta uviđa se kako je jedan od temeljnih preduvjeta razvoja svake države, u procesima tehnološki i ekonomski učinkovite integracije, razvijenog sustava pomorskog prometa i prometa na unutarnj</w:t>
      </w:r>
      <w:r>
        <w:t>im plovnim putovima uz učinkovito i sustavno upravljanje pomorskim dobrom. Razvoj sustava pomorskog prometa, tijekom 2025. godine, temeljio se na modernizaciji i restrukturiranju prometnog i pomorskog sustava Republike Hrvatske u smjeru prihvaćanja i imple</w:t>
      </w:r>
      <w:r>
        <w:t>mentiranja suvremenih tehničko-tehnoloških razvojnih modaliteta, posebice vodeći računa o održivom rastu i razvoju pomorskoga prometa.</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w:t>
            </w:r>
            <w:r>
              <w:rPr>
                <w:rFonts w:cs="Times New Roman"/>
              </w:rPr>
              <w:t>varena vrijednost (2025.)</w:t>
            </w:r>
          </w:p>
        </w:tc>
      </w:tr>
      <w:tr w:rsidR="00895DD6">
        <w:trPr>
          <w:jc w:val="center"/>
        </w:trPr>
        <w:tc>
          <w:tcPr>
            <w:tcW w:w="2551" w:type="dxa"/>
          </w:tcPr>
          <w:p w:rsidR="00895DD6" w:rsidRDefault="00F31687">
            <w:pPr>
              <w:pStyle w:val="CellColumn"/>
              <w:jc w:val="left"/>
            </w:pPr>
            <w:r>
              <w:rPr>
                <w:rFonts w:cs="Times New Roman"/>
              </w:rPr>
              <w:t>Povećan promet tereta u morskim lukama Republike Hrvatske</w:t>
            </w:r>
          </w:p>
        </w:tc>
        <w:tc>
          <w:tcPr>
            <w:tcW w:w="2551" w:type="dxa"/>
          </w:tcPr>
          <w:p w:rsidR="00895DD6" w:rsidRDefault="00F31687">
            <w:pPr>
              <w:pStyle w:val="CellColumn"/>
              <w:jc w:val="left"/>
            </w:pPr>
            <w:r>
              <w:rPr>
                <w:rFonts w:cs="Times New Roman"/>
              </w:rPr>
              <w:t xml:space="preserve">Radovima izgradnje lučke infrastrukture, osiguranja lučkog područja, gospodarske zone i plovnih putova povećat će se količina pomorskog prometa i privlačenje korisnika što će rezultirati povećanjem prekrcanog tereta u lukama  </w:t>
            </w:r>
          </w:p>
          <w:p w:rsidR="00895DD6" w:rsidRDefault="00F31687">
            <w:pPr>
              <w:pStyle w:val="CellColumn"/>
              <w:jc w:val="left"/>
            </w:pPr>
            <w:r>
              <w:rPr>
                <w:rFonts w:cs="Times New Roman"/>
              </w:rPr>
              <w:t>(godišnja vrijednost)</w:t>
            </w:r>
          </w:p>
        </w:tc>
        <w:tc>
          <w:tcPr>
            <w:tcW w:w="1020" w:type="dxa"/>
          </w:tcPr>
          <w:p w:rsidR="00895DD6" w:rsidRDefault="00F31687">
            <w:pPr>
              <w:pStyle w:val="CellColumn"/>
              <w:jc w:val="right"/>
            </w:pPr>
            <w:r>
              <w:rPr>
                <w:rFonts w:cs="Times New Roman"/>
              </w:rPr>
              <w:t>tona</w:t>
            </w:r>
          </w:p>
        </w:tc>
        <w:tc>
          <w:tcPr>
            <w:tcW w:w="1020" w:type="dxa"/>
          </w:tcPr>
          <w:p w:rsidR="00895DD6" w:rsidRDefault="00F31687">
            <w:pPr>
              <w:pStyle w:val="CellColumn"/>
              <w:jc w:val="right"/>
            </w:pPr>
            <w:r>
              <w:rPr>
                <w:rFonts w:cs="Times New Roman"/>
              </w:rPr>
              <w:t>19</w:t>
            </w:r>
            <w:r>
              <w:rPr>
                <w:rFonts w:cs="Times New Roman"/>
              </w:rPr>
              <w:t>.700.000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18.000.000</w:t>
            </w:r>
          </w:p>
        </w:tc>
        <w:tc>
          <w:tcPr>
            <w:tcW w:w="1020" w:type="dxa"/>
          </w:tcPr>
          <w:p w:rsidR="00895DD6" w:rsidRDefault="00F31687">
            <w:pPr>
              <w:pStyle w:val="CellColumn"/>
              <w:jc w:val="right"/>
            </w:pPr>
            <w:r>
              <w:rPr>
                <w:rFonts w:cs="Times New Roman"/>
              </w:rPr>
              <w:t>23.600.000</w:t>
            </w:r>
          </w:p>
        </w:tc>
      </w:tr>
    </w:tbl>
    <w:p w:rsidR="00895DD6" w:rsidRDefault="00895DD6">
      <w:pPr>
        <w:jc w:val="left"/>
      </w:pPr>
    </w:p>
    <w:p w:rsidR="00895DD6" w:rsidRDefault="00F31687">
      <w:pPr>
        <w:pStyle w:val="Heading4"/>
      </w:pPr>
      <w:r>
        <w:t>A570219 IZGRADNJA, SANACIJA I REKONSTRUKCIJA OBJEKATA PODGRADNJE U LUKAMA OTVORENIM ZA JAVNI PROMET OD ŽUPANIJSKOG I LOKALNOG ZNAČAJA TE MODERNIZACIJA, OBNOVA I IZGRADNJA RIBARSKE INFRASTRUKTURE</w:t>
      </w:r>
    </w:p>
    <w:tbl>
      <w:tblPr>
        <w:tblStyle w:val="StilTablice"/>
        <w:tblW w:w="10206" w:type="dxa"/>
        <w:jc w:val="center"/>
        <w:tblLook w:val="04A0" w:firstRow="1" w:lastRow="0" w:firstColumn="1" w:lastColumn="0" w:noHBand="0" w:noVBand="1"/>
      </w:tblPr>
      <w:tblGrid>
        <w:gridCol w:w="1893"/>
        <w:gridCol w:w="1965"/>
        <w:gridCol w:w="1965"/>
        <w:gridCol w:w="1965"/>
        <w:gridCol w:w="1205"/>
        <w:gridCol w:w="121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A570219-IZGRADNJA, SANACIJA I REKONSTRUKCIJA OBJEKATA PODGRADNJE U LUKAMA OTVORENIM ZA JAVNI PROMET OD ŽUPANIJSKOG I LOKALNOG ZNAČA</w:t>
            </w:r>
            <w:r>
              <w:rPr>
                <w:rFonts w:cs="Times New Roman"/>
              </w:rPr>
              <w:t>JA TE MODERNIZACIJA, OBNOVA I IZGRADNJA RIBARSKE INFRASTRUKTURE</w:t>
            </w:r>
          </w:p>
        </w:tc>
        <w:tc>
          <w:tcPr>
            <w:tcW w:w="2041" w:type="dxa"/>
          </w:tcPr>
          <w:p w:rsidR="00895DD6" w:rsidRDefault="00F31687">
            <w:pPr>
              <w:pStyle w:val="CellColumn"/>
              <w:jc w:val="right"/>
            </w:pPr>
            <w:r>
              <w:rPr>
                <w:rFonts w:cs="Times New Roman"/>
              </w:rPr>
              <w:t>14.614.008</w:t>
            </w:r>
          </w:p>
        </w:tc>
        <w:tc>
          <w:tcPr>
            <w:tcW w:w="2041" w:type="dxa"/>
          </w:tcPr>
          <w:p w:rsidR="00895DD6" w:rsidRDefault="00F31687">
            <w:pPr>
              <w:pStyle w:val="CellColumn"/>
              <w:jc w:val="right"/>
            </w:pPr>
            <w:r>
              <w:rPr>
                <w:rFonts w:cs="Times New Roman"/>
              </w:rPr>
              <w:t>14.866.550</w:t>
            </w:r>
          </w:p>
        </w:tc>
        <w:tc>
          <w:tcPr>
            <w:tcW w:w="2041" w:type="dxa"/>
          </w:tcPr>
          <w:p w:rsidR="00895DD6" w:rsidRDefault="00F31687">
            <w:pPr>
              <w:pStyle w:val="CellColumn"/>
              <w:jc w:val="right"/>
            </w:pPr>
            <w:r>
              <w:rPr>
                <w:rFonts w:cs="Times New Roman"/>
              </w:rPr>
              <w:t>14.701.366</w:t>
            </w:r>
          </w:p>
        </w:tc>
        <w:tc>
          <w:tcPr>
            <w:tcW w:w="1224" w:type="dxa"/>
          </w:tcPr>
          <w:p w:rsidR="00895DD6" w:rsidRDefault="00F31687">
            <w:pPr>
              <w:pStyle w:val="CellColumn"/>
              <w:jc w:val="right"/>
            </w:pPr>
            <w:r>
              <w:rPr>
                <w:rFonts w:cs="Times New Roman"/>
              </w:rPr>
              <w:t>98,9</w:t>
            </w:r>
          </w:p>
        </w:tc>
        <w:tc>
          <w:tcPr>
            <w:tcW w:w="1224" w:type="dxa"/>
          </w:tcPr>
          <w:p w:rsidR="00895DD6" w:rsidRDefault="00F31687">
            <w:pPr>
              <w:pStyle w:val="CellColumn"/>
              <w:jc w:val="right"/>
            </w:pPr>
            <w:r>
              <w:rPr>
                <w:rFonts w:cs="Times New Roman"/>
              </w:rPr>
              <w:t>100,6</w:t>
            </w:r>
          </w:p>
        </w:tc>
      </w:tr>
    </w:tbl>
    <w:p w:rsidR="00895DD6" w:rsidRDefault="00895DD6">
      <w:pPr>
        <w:jc w:val="left"/>
      </w:pPr>
    </w:p>
    <w:p w:rsidR="00895DD6" w:rsidRDefault="00F31687">
      <w:pPr>
        <w:pStyle w:val="Heading8"/>
        <w:jc w:val="left"/>
      </w:pPr>
      <w:r>
        <w:t>Zakonske i druge pravne osnove</w:t>
      </w:r>
    </w:p>
    <w:p w:rsidR="00895DD6" w:rsidRDefault="00F31687">
      <w:r>
        <w:t>- Zakon o pomorskom dobru i morskim lukama, članak 40.</w:t>
      </w:r>
    </w:p>
    <w:p w:rsidR="00895DD6" w:rsidRDefault="00F31687">
      <w:pPr>
        <w:pStyle w:val="Heading8"/>
        <w:jc w:val="left"/>
      </w:pPr>
      <w:r>
        <w:t>Opis aktivnosti</w:t>
      </w:r>
    </w:p>
    <w:p w:rsidR="00895DD6" w:rsidRDefault="00F31687">
      <w:r>
        <w:t xml:space="preserve">Sredstvima s ove aktivnosti sufinancirana je osnovna infrastruktura važnijih građevina u lukama otvorenim za javni promet od županijskog i lokalnog značaja s ciljem razvoja i modernizacije pomorskog linijskog prometa tj. povećanje sigurnosti i unapređenje </w:t>
      </w:r>
      <w:r>
        <w:t xml:space="preserve">kvalitete javnog pomorskog prijevoza na povezivanju otoka s kopnom i otoka međusobno.  </w:t>
      </w:r>
    </w:p>
    <w:p w:rsidR="00895DD6" w:rsidRDefault="00F31687">
      <w:r>
        <w:t xml:space="preserve">Ukupno je u 2025. godini od strane ovog Ministarstva sufinancirano 25 projekata u nadležnosti županijskih lučkih uprava, a sredstva su dodijeljena kako slijedi: </w:t>
      </w:r>
    </w:p>
    <w:p w:rsidR="00895DD6" w:rsidRDefault="00F31687">
      <w:r>
        <w:t>1.</w:t>
      </w:r>
      <w:r>
        <w:tab/>
        <w:t>Luč</w:t>
      </w:r>
      <w:r>
        <w:t xml:space="preserve">koj upravi Pula u iznosu od 33.606,33 EUR za projekt „Sanacija lukobrana u Puli“ </w:t>
      </w:r>
    </w:p>
    <w:p w:rsidR="00895DD6" w:rsidRDefault="00F31687">
      <w:r>
        <w:t>2.</w:t>
      </w:r>
      <w:r>
        <w:tab/>
        <w:t xml:space="preserve">Lučkoj upravi Umag-Novigrad u iznosu od 200.000,00 EUR za projekt „Sanacija lukobrana luke Novigrad“ </w:t>
      </w:r>
    </w:p>
    <w:p w:rsidR="00895DD6" w:rsidRDefault="00F31687">
      <w:r>
        <w:t>3.</w:t>
      </w:r>
      <w:r>
        <w:tab/>
        <w:t>Županijskoj lučkoj upravi Mali Lošinj u iznosu od 1.329.196,28 EUR</w:t>
      </w:r>
      <w:r>
        <w:t xml:space="preserve"> za projekt „Rekonstrukcija Vele rive u malom Lošinju“ </w:t>
      </w:r>
    </w:p>
    <w:p w:rsidR="00895DD6" w:rsidRDefault="00F31687">
      <w:r>
        <w:t>4.</w:t>
      </w:r>
      <w:r>
        <w:tab/>
        <w:t xml:space="preserve">Županijskoj lučkoj upravi Krk u iznosu od 399.999,99 EUR za projekt „Rekonstrukcija Luke Baška - 4. faza“ </w:t>
      </w:r>
    </w:p>
    <w:p w:rsidR="00895DD6" w:rsidRDefault="00F31687">
      <w:r>
        <w:t>5.</w:t>
      </w:r>
      <w:r>
        <w:tab/>
        <w:t>Županijskoj lučkoj upravi Rab u iznosu od 925.000,00 EUR za projekt „Rekonstrukcija i d</w:t>
      </w:r>
      <w:r>
        <w:t xml:space="preserve">ogradnja luke Melak (Lopar) - II. faza“ </w:t>
      </w:r>
    </w:p>
    <w:p w:rsidR="00895DD6" w:rsidRDefault="00F31687">
      <w:r>
        <w:t>6.</w:t>
      </w:r>
      <w:r>
        <w:tab/>
        <w:t xml:space="preserve">Županijskoj lučkoj upravi Rab u iznosu od 367.414,94 EUR za projekt „Redovno održavanje luke Mišnjak“ </w:t>
      </w:r>
    </w:p>
    <w:p w:rsidR="00895DD6" w:rsidRDefault="00F31687">
      <w:r>
        <w:t>7.</w:t>
      </w:r>
      <w:r>
        <w:tab/>
        <w:t>Županijskoj lučkoj upravi Rab u iznosu od 655.000,00 EUR za projekt „Rekonstrukcija i dogradnja luke San M</w:t>
      </w:r>
      <w:r>
        <w:t>arino“</w:t>
      </w:r>
      <w:r>
        <w:tab/>
        <w:t xml:space="preserve"> </w:t>
      </w:r>
    </w:p>
    <w:p w:rsidR="00895DD6" w:rsidRDefault="00F31687">
      <w:r>
        <w:t>8.</w:t>
      </w:r>
      <w:r>
        <w:tab/>
        <w:t>Županijskoj lučkoj upravi Rab u iznosu od 120.000,00 EUR za projekt „Redovno održavanje luke Kamporska Draga“</w:t>
      </w:r>
      <w:r>
        <w:tab/>
        <w:t xml:space="preserve"> </w:t>
      </w:r>
    </w:p>
    <w:p w:rsidR="00895DD6" w:rsidRDefault="00F31687">
      <w:r>
        <w:t>9.</w:t>
      </w:r>
      <w:r>
        <w:tab/>
        <w:t xml:space="preserve">Županijskoj lučkoj upravi Crikvenica u iznosu od 319.730,01 EUR za projekt „Izgradnja privezišta Jadranovo“ </w:t>
      </w:r>
    </w:p>
    <w:p w:rsidR="00895DD6" w:rsidRDefault="00F31687">
      <w:r>
        <w:t>10.</w:t>
      </w:r>
      <w:r>
        <w:tab/>
        <w:t>Županijskoj lučk</w:t>
      </w:r>
      <w:r>
        <w:t xml:space="preserve">oj upravi Crikvenica u iznosu od 500.000,00 EUR za projekt „Izgradnja luke u lučkom bazenu Amabilis“ </w:t>
      </w:r>
    </w:p>
    <w:p w:rsidR="00895DD6" w:rsidRDefault="00F31687">
      <w:r>
        <w:t>11.</w:t>
      </w:r>
      <w:r>
        <w:tab/>
        <w:t>Županijskoj lučkoj upravi Opatija-Lovran-Mošćenička Draga u iznosu od 30.000,00 EUR za projekt „Sanacija obale za privez ribarskih brodica na dijelu l</w:t>
      </w:r>
      <w:r>
        <w:t>uke Mošćenička Draga“</w:t>
      </w:r>
      <w:r>
        <w:tab/>
        <w:t xml:space="preserve"> </w:t>
      </w:r>
    </w:p>
    <w:p w:rsidR="00895DD6" w:rsidRDefault="00F31687">
      <w:r>
        <w:t>12.</w:t>
      </w:r>
      <w:r>
        <w:tab/>
        <w:t xml:space="preserve">Lučkoj upravi Novalja u iznosu od 668.469,26 EUR za projekt „Rekonstrukcija i dogradnja luke otvorene za javni promet u gradu Novalja - 2. faza“ </w:t>
      </w:r>
    </w:p>
    <w:p w:rsidR="00895DD6" w:rsidRDefault="00F31687">
      <w:r>
        <w:t>13.</w:t>
      </w:r>
      <w:r>
        <w:tab/>
        <w:t>Lučkoj upravi Senj u iznosu od 376.200,00 EUR za projekt „Izvanredno održavanj</w:t>
      </w:r>
      <w:r>
        <w:t xml:space="preserve">e dijela luke Karlobag II. faza“ </w:t>
      </w:r>
    </w:p>
    <w:p w:rsidR="00895DD6" w:rsidRDefault="00F31687">
      <w:r>
        <w:t>14.</w:t>
      </w:r>
      <w:r>
        <w:tab/>
        <w:t xml:space="preserve">Lučkoj upravi Senj u iznosu od 110.000,00 EUR za projekt „Izvanredno održavanje dijela luke Barić Draga II., III. i IV. Faza“ </w:t>
      </w:r>
    </w:p>
    <w:p w:rsidR="00895DD6" w:rsidRDefault="00F31687">
      <w:r>
        <w:lastRenderedPageBreak/>
        <w:t>15.</w:t>
      </w:r>
      <w:r>
        <w:tab/>
        <w:t>Lučkoj upravi Senj u iznosu od 150.000,00 EUR za projekt „Pješački most u luci Karlobag</w:t>
      </w:r>
      <w:r>
        <w:t xml:space="preserve">“ </w:t>
      </w:r>
    </w:p>
    <w:p w:rsidR="00895DD6" w:rsidRDefault="00F31687">
      <w:r>
        <w:t>16.</w:t>
      </w:r>
      <w:r>
        <w:tab/>
        <w:t xml:space="preserve">Lučkoj upravi Senj u iznosu od 260.000,00 EUR za projekt „Nužni građevinski radovi potrebni za završetak III. faze izvanrednog održavanja dijela luke Karlobag“ </w:t>
      </w:r>
    </w:p>
    <w:p w:rsidR="00895DD6" w:rsidRDefault="00F31687">
      <w:r>
        <w:t>17.</w:t>
      </w:r>
      <w:r>
        <w:tab/>
        <w:t xml:space="preserve">Lučkoj upravi Senj u iznosu od 100.000,00 EUR za projekt „Izvanredno održavanje luke Karlobag - polukružno uklapanje gata (faza III. prema fazama II. i IV.)“ </w:t>
      </w:r>
    </w:p>
    <w:p w:rsidR="00895DD6" w:rsidRDefault="00F31687">
      <w:r>
        <w:t>18.</w:t>
      </w:r>
      <w:r>
        <w:tab/>
        <w:t>Županijskoj lučkoj upravi Zadar u iznosu od 800.000,00 EUR za projekt „Cenatr za školjkar</w:t>
      </w:r>
      <w:r>
        <w:t xml:space="preserve">stvo Zadarske županije, II. faza – privezište“ </w:t>
      </w:r>
    </w:p>
    <w:p w:rsidR="00895DD6" w:rsidRDefault="00F31687">
      <w:r>
        <w:t>19.</w:t>
      </w:r>
      <w:r>
        <w:tab/>
        <w:t xml:space="preserve">Županijskoj lučkoj upravi Zadar u iznosu od 400.000,00 EUR za projekt „Uklanjanje naplavnog sloja materijala u akvatoriju Ninske uvale“ </w:t>
      </w:r>
    </w:p>
    <w:p w:rsidR="00895DD6" w:rsidRDefault="00F31687">
      <w:r>
        <w:t>20.</w:t>
      </w:r>
      <w:r>
        <w:tab/>
        <w:t xml:space="preserve">Lučkoj upravi Šibensko-kninske županije u iznosu od 140.000,00 </w:t>
      </w:r>
      <w:r>
        <w:t xml:space="preserve">EUR za projekt „Sanacija obalnog pojasa lučkog područja Krapanj“ </w:t>
      </w:r>
    </w:p>
    <w:p w:rsidR="00895DD6" w:rsidRDefault="00F31687">
      <w:r>
        <w:t>21.</w:t>
      </w:r>
      <w:r>
        <w:tab/>
        <w:t xml:space="preserve">Lučkoj upravi Šibensko-kninske županije u iznosu od 400.000,00 EUR za projekt „Sanacija i dogradnja lukobrana u Prvić luci, otok Prvić“ </w:t>
      </w:r>
    </w:p>
    <w:p w:rsidR="00895DD6" w:rsidRDefault="00F31687">
      <w:r>
        <w:t>22.</w:t>
      </w:r>
      <w:r>
        <w:tab/>
        <w:t>Lučkoj upravi Splitsko-dalmatinske županije u</w:t>
      </w:r>
      <w:r>
        <w:t xml:space="preserve"> iznosu od 606.399,99 EUR za projekt „Uređenje sjeverne obale luke Jelsa“ </w:t>
      </w:r>
    </w:p>
    <w:p w:rsidR="00895DD6" w:rsidRDefault="00F31687">
      <w:r>
        <w:t>23.</w:t>
      </w:r>
      <w:r>
        <w:tab/>
        <w:t xml:space="preserve">Lučkoj upravi Splitsko-dalmatinske županije u iznosu od  110.325,21 EUR za projekt „Uređenje dijela obalnog pojasa između trajektnog pristaništa i poluotoka Prirovo grad Vis“ </w:t>
      </w:r>
    </w:p>
    <w:p w:rsidR="00895DD6" w:rsidRDefault="00F31687">
      <w:r>
        <w:t>2</w:t>
      </w:r>
      <w:r>
        <w:t>4.</w:t>
      </w:r>
      <w:r>
        <w:tab/>
        <w:t xml:space="preserve">Županijskoj lučkoj upravi Korčula u iznosu od 1.157.837,73 EUR za projekt „Zahvat u prostoru komunalnog  dijela luke Kneža“ </w:t>
      </w:r>
    </w:p>
    <w:p w:rsidR="00895DD6" w:rsidRDefault="00F31687">
      <w:r>
        <w:t>25.</w:t>
      </w:r>
      <w:r>
        <w:tab/>
        <w:t xml:space="preserve">Lučkoj upravi Dubrovačko-neretvanske županije u iznosu od 483.744,46 EUR za projekt „Valobranski ponton u luci Brna“. </w:t>
      </w:r>
    </w:p>
    <w:p w:rsidR="00895DD6" w:rsidRDefault="00F31687">
      <w:r>
        <w:t>Prvot</w:t>
      </w:r>
      <w:r>
        <w:t xml:space="preserve">nom Odlukom sredstva su osigurana za 28 projekata, međutim zbog nemogućnosti pojedinih lučkih uprava da potroše dodijeljena sredstva ista su odlukom ministra preraspodijeljena na druge projekte. </w:t>
      </w:r>
    </w:p>
    <w:p w:rsidR="00895DD6" w:rsidRDefault="00F31687">
      <w:r>
        <w:t>Od ukupno osiguranog iznosa od 10.805.000 EUR utrošeno je 10</w:t>
      </w:r>
      <w:r>
        <w:t xml:space="preserve">.642.348,04 EUR.   </w:t>
      </w:r>
    </w:p>
    <w:p w:rsidR="00895DD6" w:rsidRDefault="00F31687">
      <w:r>
        <w:t xml:space="preserve">S ove aktivnosti sufinancirana je i izgradnja, sanacija i rekonstrukcija pomorskog dobra u općoj upotrebi u 2025. godini. Za navedenu namjenu u proračunu su bila osigurana sredstva u ukupnom iznosu od 4.101.550,00 EUR. Sufinancirano je </w:t>
      </w:r>
      <w:r>
        <w:t xml:space="preserve">39 projekta iz nadležnosti jedinica lokalne samouprave te je od ukupno osiguranog iznosa utrošeno ukupno 4.059.017,75 EUR, a sredstva su dodijeljena kako slijedi:  </w:t>
      </w:r>
    </w:p>
    <w:p w:rsidR="00895DD6" w:rsidRDefault="00F31687">
      <w:r>
        <w:t>1.</w:t>
      </w:r>
      <w:r>
        <w:tab/>
        <w:t xml:space="preserve">Općini Funtana, u iznosu od 100.000,00 EUR za „Uređenje utoka u more bujice Funtana“, </w:t>
      </w:r>
    </w:p>
    <w:p w:rsidR="00895DD6" w:rsidRDefault="00F31687">
      <w:r>
        <w:t>2</w:t>
      </w:r>
      <w:r>
        <w:t>.</w:t>
      </w:r>
      <w:r>
        <w:tab/>
        <w:t xml:space="preserve">Gradu Novom Vinodolskom, u iznosu od 60.000,00 EUR za „Sanacija obale u Klenovici“, </w:t>
      </w:r>
    </w:p>
    <w:p w:rsidR="00895DD6" w:rsidRDefault="00F31687">
      <w:r>
        <w:t>3.</w:t>
      </w:r>
      <w:r>
        <w:tab/>
        <w:t xml:space="preserve">Gradu Novom Vinodolskom, u iznosu od 60.000,00 EUR za „Sanacija obale u Novom Vinodolskom“, </w:t>
      </w:r>
    </w:p>
    <w:p w:rsidR="00895DD6" w:rsidRDefault="00F31687">
      <w:r>
        <w:t>4.</w:t>
      </w:r>
      <w:r>
        <w:tab/>
        <w:t>Gradu Malom Lošinju, u iznosu od 140.000,00 EUR za „Šetnica na otoku S</w:t>
      </w:r>
      <w:r>
        <w:t xml:space="preserve">usku - faza II“, </w:t>
      </w:r>
    </w:p>
    <w:p w:rsidR="00895DD6" w:rsidRDefault="00F31687">
      <w:r>
        <w:t>5.</w:t>
      </w:r>
      <w:r>
        <w:tab/>
        <w:t xml:space="preserve">Gradu Kraljevici, u iznosu od 105.338,40 EUR za „Sanacija pokosa uz plažu Carovo“, </w:t>
      </w:r>
    </w:p>
    <w:p w:rsidR="00895DD6" w:rsidRDefault="00F31687">
      <w:r>
        <w:t>6.</w:t>
      </w:r>
      <w:r>
        <w:tab/>
        <w:t xml:space="preserve">Gradu Kraljevici, u iznosu od 134.661,60 EUR za „Sanacija pomorskog dobra - na lokaciji  Carovo u Kraljevici na k.č. 1/3, 103/1 i dijelu k.č. 103/2 </w:t>
      </w:r>
      <w:r>
        <w:t xml:space="preserve">k.o. Kraljevica“, </w:t>
      </w:r>
    </w:p>
    <w:p w:rsidR="00895DD6" w:rsidRDefault="00F31687">
      <w:r>
        <w:t>7.</w:t>
      </w:r>
      <w:r>
        <w:tab/>
        <w:t xml:space="preserve">Općini Mošćenička Draga, u iznosu od 40.000,00 EUR za „Uređenje i sanacija plaže u Sv. Ivanu“, </w:t>
      </w:r>
    </w:p>
    <w:p w:rsidR="00895DD6" w:rsidRDefault="00F31687">
      <w:r>
        <w:t>8.</w:t>
      </w:r>
      <w:r>
        <w:tab/>
        <w:t xml:space="preserve">Gradu Rabu, u iznosu od 150.000,00 EUR za „Sanacija partera šetališta fra. Odorika Badurine u Gradu Rabu - 1. dionica“, </w:t>
      </w:r>
    </w:p>
    <w:p w:rsidR="00895DD6" w:rsidRDefault="00F31687">
      <w:r>
        <w:t>9.</w:t>
      </w:r>
      <w:r>
        <w:tab/>
        <w:t>Gradu Crikv</w:t>
      </w:r>
      <w:r>
        <w:t xml:space="preserve">enici, u iznosu od 150.000,00 EUR za „Uređenje dijela obalnog područja na poluotoku Kačjak“,  </w:t>
      </w:r>
    </w:p>
    <w:p w:rsidR="00895DD6" w:rsidRDefault="00F31687">
      <w:r>
        <w:t>10.</w:t>
      </w:r>
      <w:r>
        <w:tab/>
        <w:t xml:space="preserve">Općini Lopar, u iznosu od 150.000,00 EUR za „Izvanredno održavanje postojećih pomorskih građevina van lučkog područja gat Dubac i gat Saramić“, </w:t>
      </w:r>
    </w:p>
    <w:p w:rsidR="00895DD6" w:rsidRDefault="00F31687">
      <w:r>
        <w:t>11.</w:t>
      </w:r>
      <w:r>
        <w:tab/>
        <w:t>Gradu Op</w:t>
      </w:r>
      <w:r>
        <w:t xml:space="preserve">atiji, u iznosu od 100.000,00 EUR za „Uređenje plaže Tomaševac“, </w:t>
      </w:r>
    </w:p>
    <w:p w:rsidR="00895DD6" w:rsidRDefault="00F31687">
      <w:r>
        <w:t>12.</w:t>
      </w:r>
      <w:r>
        <w:tab/>
        <w:t xml:space="preserve">Gradu Novalji, u iznosu od 100.000,00 EUR za „Izgradnja šetnice oko Punte Vrtića - III. Faza“, </w:t>
      </w:r>
    </w:p>
    <w:p w:rsidR="00895DD6" w:rsidRDefault="00F31687">
      <w:r>
        <w:t>13.</w:t>
      </w:r>
      <w:r>
        <w:tab/>
        <w:t>Gradu Senju, u iznosu od 200.000,00 EUR za „Rekonstrukcija kupališta Banja i parka u n</w:t>
      </w:r>
      <w:r>
        <w:t xml:space="preserve">aselju Sv. Juraj, Grad Senj“, </w:t>
      </w:r>
    </w:p>
    <w:p w:rsidR="00895DD6" w:rsidRDefault="00F31687">
      <w:r>
        <w:t>14.</w:t>
      </w:r>
      <w:r>
        <w:tab/>
        <w:t xml:space="preserve">Općini Karlobag, u iznosu od 250.000,00 EUR za „Sanacija hotelske plaže I. faza“, </w:t>
      </w:r>
    </w:p>
    <w:p w:rsidR="00895DD6" w:rsidRDefault="00F31687">
      <w:r>
        <w:lastRenderedPageBreak/>
        <w:t>15.</w:t>
      </w:r>
      <w:r>
        <w:tab/>
        <w:t xml:space="preserve">Općini Novigrad, u iznosu od 28.000,00 EUR za „Uređenje šetnice i pristupa plaži Ćuskijaš u Pridrazi - 2. faza“, </w:t>
      </w:r>
    </w:p>
    <w:p w:rsidR="00895DD6" w:rsidRDefault="00F31687">
      <w:r>
        <w:t>16.</w:t>
      </w:r>
      <w:r>
        <w:tab/>
        <w:t xml:space="preserve">Općini Novigrad, u iznosu od 92.111,39 EUR za „Izgradnja šetnice s pristupom u naselju Crnopalj - 1. faza“, </w:t>
      </w:r>
    </w:p>
    <w:p w:rsidR="00895DD6" w:rsidRDefault="00F31687">
      <w:r>
        <w:t>17.</w:t>
      </w:r>
      <w:r>
        <w:tab/>
        <w:t xml:space="preserve">Općini Starigrad, u iznosu od 200.000,00 EUR za „Uređenje središnjeg obalnog pojasa naselja Starigrad Paklenica – 3. podfaza“, </w:t>
      </w:r>
    </w:p>
    <w:p w:rsidR="00895DD6" w:rsidRDefault="00F31687">
      <w:r>
        <w:t>18.</w:t>
      </w:r>
      <w:r>
        <w:tab/>
        <w:t xml:space="preserve">Općini Pašman, u iznosu od 200.000,00 EUR za „Sanacija pomorskog dobra "Dobropoljana''“, </w:t>
      </w:r>
    </w:p>
    <w:p w:rsidR="00895DD6" w:rsidRDefault="00F31687">
      <w:r>
        <w:t>19.</w:t>
      </w:r>
      <w:r>
        <w:tab/>
        <w:t xml:space="preserve">Općini Sveti Filip i Jakov, u iznosu od 63.400,00 EUR za „Uređenje plaže Morovička u Turnju, FAZA 5“, </w:t>
      </w:r>
    </w:p>
    <w:p w:rsidR="00895DD6" w:rsidRDefault="00F31687">
      <w:r>
        <w:t>20.</w:t>
      </w:r>
      <w:r>
        <w:tab/>
        <w:t>Općini Preko, u iznosu od 67.000,00 EUR za „Projekt</w:t>
      </w:r>
      <w:r>
        <w:t xml:space="preserve"> sanacije dijela pomorskog dobra dio obale Magazin i Kašun u mjestu Preko“, </w:t>
      </w:r>
    </w:p>
    <w:p w:rsidR="00895DD6" w:rsidRDefault="00F31687">
      <w:r>
        <w:t>21.</w:t>
      </w:r>
      <w:r>
        <w:tab/>
        <w:t xml:space="preserve">Gradu Ninu, u iznosu od 90.000,00 EUR za „Uklanjanje naplavnog sloja materijala u zoni luke Nin - IV. Faza“, </w:t>
      </w:r>
    </w:p>
    <w:p w:rsidR="00895DD6" w:rsidRDefault="00F31687">
      <w:r>
        <w:t>22.</w:t>
      </w:r>
      <w:r>
        <w:tab/>
        <w:t>Općini Sukošan, u iznosu od 213.838,56 EUR za „Izgradnja i ur</w:t>
      </w:r>
      <w:r>
        <w:t xml:space="preserve">eđenje obalnog pojasa prema UPU u Sukošanu, predio Makarska – izgradnja dijela šetnice sa plažom od P27 do P38(220m) te izgradnja lučice KV1“, </w:t>
      </w:r>
    </w:p>
    <w:p w:rsidR="00895DD6" w:rsidRDefault="00F31687">
      <w:r>
        <w:t>23.</w:t>
      </w:r>
      <w:r>
        <w:tab/>
        <w:t xml:space="preserve">Općini Jasenice, u iznosu od 15.000,00 EUR za „Projekt uređenja šetnice Bunarić - Vrulja - II. faza“, </w:t>
      </w:r>
    </w:p>
    <w:p w:rsidR="00895DD6" w:rsidRDefault="00F31687">
      <w:r>
        <w:t>24.</w:t>
      </w:r>
      <w:r>
        <w:tab/>
        <w:t>O</w:t>
      </w:r>
      <w:r>
        <w:t xml:space="preserve">pćini Tkon, u iznosu od 100.000,00 EUR za „Uređenje obalnog pojasa naselja Ugrinić – 1. cjelina“, </w:t>
      </w:r>
    </w:p>
    <w:p w:rsidR="00895DD6" w:rsidRDefault="00F31687">
      <w:r>
        <w:t>25.</w:t>
      </w:r>
      <w:r>
        <w:tab/>
        <w:t xml:space="preserve">Gradu Obrovcu, u iznosu od 80.000,00 EUR za „Sanacija gatova na području Grada Obrovca“, </w:t>
      </w:r>
    </w:p>
    <w:p w:rsidR="00895DD6" w:rsidRDefault="00F31687">
      <w:r>
        <w:t>26.</w:t>
      </w:r>
      <w:r>
        <w:tab/>
        <w:t>Gradu Biogradu na Moru, u iznosu od 150.000,00 EUR za „Sana</w:t>
      </w:r>
      <w:r>
        <w:t xml:space="preserve">cija lučice Bolnički mul, Grad Biograd na Moru“, </w:t>
      </w:r>
    </w:p>
    <w:p w:rsidR="00895DD6" w:rsidRDefault="00F31687">
      <w:r>
        <w:t>27.</w:t>
      </w:r>
      <w:r>
        <w:tab/>
        <w:t xml:space="preserve">Općini Pirovac, u iznosu od 60.000,00 EUR za „Uređenje obalnog pojasa i šetnice u Starinama, Pirovac - II. faza“, </w:t>
      </w:r>
    </w:p>
    <w:p w:rsidR="00895DD6" w:rsidRDefault="00F31687">
      <w:r>
        <w:t>28.</w:t>
      </w:r>
      <w:r>
        <w:tab/>
        <w:t>Gradu Skradinu, u iznosu od 40.000,00 EUR za „Uređenje partera uz novu rivu uvale “</w:t>
      </w:r>
      <w:r>
        <w:t xml:space="preserve">Mala Jaruga“ (faza II)“, </w:t>
      </w:r>
    </w:p>
    <w:p w:rsidR="00895DD6" w:rsidRDefault="00F31687">
      <w:r>
        <w:t>29.</w:t>
      </w:r>
      <w:r>
        <w:tab/>
        <w:t xml:space="preserve">Gradu Šibeniku, u iznosu od 200.000,00 EUR za „Sanacija pomorskog dobra na Jadriji“, </w:t>
      </w:r>
    </w:p>
    <w:p w:rsidR="00895DD6" w:rsidRDefault="00F31687">
      <w:r>
        <w:t>30.</w:t>
      </w:r>
      <w:r>
        <w:tab/>
        <w:t xml:space="preserve">Općini Tisno, u iznosu od 40.000,00 EUR za „III. Faza sanacije edukativno poučne staze Jezera – Uvala Gušćica“, </w:t>
      </w:r>
    </w:p>
    <w:p w:rsidR="00895DD6" w:rsidRDefault="00F31687">
      <w:r>
        <w:t>31.</w:t>
      </w:r>
      <w:r>
        <w:tab/>
        <w:t>Općini Postira, u i</w:t>
      </w:r>
      <w:r>
        <w:t xml:space="preserve">znosu od 42.468,75 EUR za „Dobava i montaža zaštitne ograde na šetnici Lungo mare na pomorskom dobru II. faza i montaža rešetki na rampi za invalide“, </w:t>
      </w:r>
    </w:p>
    <w:p w:rsidR="00895DD6" w:rsidRDefault="00F31687">
      <w:r>
        <w:t>32.</w:t>
      </w:r>
      <w:r>
        <w:tab/>
        <w:t xml:space="preserve">Općini Podgora, u iznosu od 75.000,00 EUR za „Uređenje dijela obale u Podgori - skalinada faza 2.“, </w:t>
      </w:r>
    </w:p>
    <w:p w:rsidR="00895DD6" w:rsidRDefault="00F31687">
      <w:r>
        <w:t>33.</w:t>
      </w:r>
      <w:r>
        <w:tab/>
        <w:t xml:space="preserve">Općini Podstrana, u iznosu od 200.000,00 EUR za „Sanacija središnjeg dijela obalnog pojasa u Podstrani – Faza II.“, </w:t>
      </w:r>
    </w:p>
    <w:p w:rsidR="00895DD6" w:rsidRDefault="00F31687">
      <w:r>
        <w:t>34.</w:t>
      </w:r>
      <w:r>
        <w:tab/>
        <w:t xml:space="preserve">Općini Podstrana, u iznosu od 100.000,00 EUR za „Sanacija središnjeg dijela obalnog pojasa u Podstrani – Faza III.“, </w:t>
      </w:r>
    </w:p>
    <w:p w:rsidR="00895DD6" w:rsidRDefault="00F31687">
      <w:r>
        <w:t>35.</w:t>
      </w:r>
      <w:r>
        <w:tab/>
        <w:t>Gradu Hv</w:t>
      </w:r>
      <w:r>
        <w:t xml:space="preserve">aru, u iznosu od 50.000,00 EUR za „Sanacija obalnih suhozidnih zidova i obalne staze uz more u području Podstine u Hvaru, prva etapa gradnje“, </w:t>
      </w:r>
    </w:p>
    <w:p w:rsidR="00895DD6" w:rsidRDefault="00F31687">
      <w:r>
        <w:t>36.</w:t>
      </w:r>
      <w:r>
        <w:tab/>
        <w:t xml:space="preserve">Općini Slivno, u iznosu od 125.000,00 EUR za „Sanacija i dogradnja postojećeg mula u naselju Klek“, </w:t>
      </w:r>
    </w:p>
    <w:p w:rsidR="00895DD6" w:rsidRDefault="00F31687">
      <w:r>
        <w:t>37.</w:t>
      </w:r>
      <w:r>
        <w:tab/>
        <w:t>Opć</w:t>
      </w:r>
      <w:r>
        <w:t xml:space="preserve">ini Župi dubrovačkoj, u iznosu od 30.199,05 EUR za „Sanacija potpornog zida u parku Striježice“, </w:t>
      </w:r>
    </w:p>
    <w:p w:rsidR="00895DD6" w:rsidRDefault="00F31687">
      <w:r>
        <w:t>38.</w:t>
      </w:r>
      <w:r>
        <w:tab/>
        <w:t xml:space="preserve">Gradu Pločama, u iznosu od 50.000,00 EUR za „Uređenje plaže Portina - faza 2“, </w:t>
      </w:r>
    </w:p>
    <w:p w:rsidR="00895DD6" w:rsidRDefault="00F31687">
      <w:r>
        <w:t>39.</w:t>
      </w:r>
      <w:r>
        <w:tab/>
        <w:t>Općini Blato, u iznosu od 7.000,00 EUR za „Odsipavanje (čišćenje) mors</w:t>
      </w:r>
      <w:r>
        <w:t>kog dna u uvali Prižba“.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Broj odobrenih projekata za izgradnju, sanaciju i rekonstrukciju objekata podgradnje namijenjenih za prihvat trajektnih, putničkih i ribarskih brodova u lukama otvorenim za javni promet od županijskog i lokalnog značaja (godišnja vrijednost)</w:t>
            </w:r>
          </w:p>
        </w:tc>
        <w:tc>
          <w:tcPr>
            <w:tcW w:w="2551" w:type="dxa"/>
          </w:tcPr>
          <w:p w:rsidR="00895DD6" w:rsidRDefault="00F31687">
            <w:pPr>
              <w:pStyle w:val="CellColumn"/>
              <w:jc w:val="left"/>
            </w:pPr>
            <w:r>
              <w:rPr>
                <w:rFonts w:cs="Times New Roman"/>
              </w:rPr>
              <w:t>Povećanje izgr</w:t>
            </w:r>
            <w:r>
              <w:rPr>
                <w:rFonts w:cs="Times New Roman"/>
              </w:rPr>
              <w:t>ađenosti infrastrukture radi osiguranja povezivanja i komunalnog veza za lokalno stanovništvo</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26</w:t>
            </w:r>
          </w:p>
        </w:tc>
        <w:tc>
          <w:tcPr>
            <w:tcW w:w="1020" w:type="dxa"/>
          </w:tcPr>
          <w:p w:rsidR="00895DD6" w:rsidRDefault="00F31687">
            <w:pPr>
              <w:pStyle w:val="CellColumn"/>
              <w:jc w:val="right"/>
            </w:pPr>
            <w:r>
              <w:rPr>
                <w:rFonts w:cs="Times New Roman"/>
              </w:rPr>
              <w:t>25</w:t>
            </w:r>
          </w:p>
        </w:tc>
      </w:tr>
      <w:tr w:rsidR="00895DD6">
        <w:trPr>
          <w:jc w:val="center"/>
        </w:trPr>
        <w:tc>
          <w:tcPr>
            <w:tcW w:w="2551" w:type="dxa"/>
          </w:tcPr>
          <w:p w:rsidR="00895DD6" w:rsidRDefault="00F31687">
            <w:pPr>
              <w:pStyle w:val="CellColumn"/>
              <w:jc w:val="left"/>
            </w:pPr>
            <w:r>
              <w:rPr>
                <w:rFonts w:cs="Times New Roman"/>
              </w:rPr>
              <w:t>Broj odobrenih projekata za sanaciju i rekonstrukciju pomorskog dobra u općoj upotrebi (godišnja vrijednost)</w:t>
            </w:r>
          </w:p>
        </w:tc>
        <w:tc>
          <w:tcPr>
            <w:tcW w:w="2551" w:type="dxa"/>
          </w:tcPr>
          <w:p w:rsidR="00895DD6" w:rsidRDefault="00F31687">
            <w:pPr>
              <w:pStyle w:val="CellColumn"/>
              <w:jc w:val="left"/>
            </w:pPr>
            <w:r>
              <w:rPr>
                <w:rFonts w:cs="Times New Roman"/>
              </w:rPr>
              <w:t>Povećanje uređenosti infrastrukture radi sigurnog korištenja pomorskog dobra kao jednog od temeljnih resursa RH</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37</w:t>
            </w:r>
          </w:p>
        </w:tc>
        <w:tc>
          <w:tcPr>
            <w:tcW w:w="1020" w:type="dxa"/>
          </w:tcPr>
          <w:p w:rsidR="00895DD6" w:rsidRDefault="00F31687">
            <w:pPr>
              <w:pStyle w:val="CellColumn"/>
              <w:jc w:val="right"/>
            </w:pPr>
            <w:r>
              <w:rPr>
                <w:rFonts w:cs="Times New Roman"/>
              </w:rPr>
              <w:t>39</w:t>
            </w:r>
          </w:p>
        </w:tc>
      </w:tr>
    </w:tbl>
    <w:p w:rsidR="00895DD6" w:rsidRDefault="00895DD6">
      <w:pPr>
        <w:jc w:val="left"/>
      </w:pPr>
    </w:p>
    <w:p w:rsidR="00895DD6" w:rsidRDefault="00F31687">
      <w:pPr>
        <w:pStyle w:val="Heading4"/>
      </w:pPr>
      <w:r>
        <w:t>A570348 UTVRĐIVANJE I PROVEDBA GRANICA POMORSKOG DOBRA S IZVLAŠTENJEM</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A570348-UTVRĐIVANJE I PROVEDBA GRANICA POMORSKOG DOBRA S IZVLAŠTENJEM</w:t>
            </w:r>
          </w:p>
        </w:tc>
        <w:tc>
          <w:tcPr>
            <w:tcW w:w="2041" w:type="dxa"/>
          </w:tcPr>
          <w:p w:rsidR="00895DD6" w:rsidRDefault="00F31687">
            <w:pPr>
              <w:pStyle w:val="CellColumn"/>
              <w:jc w:val="right"/>
            </w:pPr>
            <w:r>
              <w:rPr>
                <w:rFonts w:cs="Times New Roman"/>
              </w:rPr>
              <w:t>825.884</w:t>
            </w:r>
          </w:p>
        </w:tc>
        <w:tc>
          <w:tcPr>
            <w:tcW w:w="2041" w:type="dxa"/>
          </w:tcPr>
          <w:p w:rsidR="00895DD6" w:rsidRDefault="00F31687">
            <w:pPr>
              <w:pStyle w:val="CellColumn"/>
              <w:jc w:val="right"/>
            </w:pPr>
            <w:r>
              <w:rPr>
                <w:rFonts w:cs="Times New Roman"/>
              </w:rPr>
              <w:t>235.539</w:t>
            </w:r>
          </w:p>
        </w:tc>
        <w:tc>
          <w:tcPr>
            <w:tcW w:w="2041" w:type="dxa"/>
          </w:tcPr>
          <w:p w:rsidR="00895DD6" w:rsidRDefault="00F31687">
            <w:pPr>
              <w:pStyle w:val="CellColumn"/>
              <w:jc w:val="right"/>
            </w:pPr>
            <w:r>
              <w:rPr>
                <w:rFonts w:cs="Times New Roman"/>
              </w:rPr>
              <w:t>219.619</w:t>
            </w:r>
          </w:p>
        </w:tc>
        <w:tc>
          <w:tcPr>
            <w:tcW w:w="1224" w:type="dxa"/>
          </w:tcPr>
          <w:p w:rsidR="00895DD6" w:rsidRDefault="00F31687">
            <w:pPr>
              <w:pStyle w:val="CellColumn"/>
              <w:jc w:val="right"/>
            </w:pPr>
            <w:r>
              <w:rPr>
                <w:rFonts w:cs="Times New Roman"/>
              </w:rPr>
              <w:t>93,2</w:t>
            </w:r>
          </w:p>
        </w:tc>
        <w:tc>
          <w:tcPr>
            <w:tcW w:w="1224" w:type="dxa"/>
          </w:tcPr>
          <w:p w:rsidR="00895DD6" w:rsidRDefault="00F31687">
            <w:pPr>
              <w:pStyle w:val="CellColumn"/>
              <w:jc w:val="right"/>
            </w:pPr>
            <w:r>
              <w:rPr>
                <w:rFonts w:cs="Times New Roman"/>
              </w:rPr>
              <w:t>26,6</w:t>
            </w:r>
          </w:p>
        </w:tc>
      </w:tr>
    </w:tbl>
    <w:p w:rsidR="00895DD6" w:rsidRDefault="00895DD6">
      <w:pPr>
        <w:jc w:val="left"/>
      </w:pPr>
    </w:p>
    <w:p w:rsidR="00895DD6" w:rsidRDefault="00F31687">
      <w:pPr>
        <w:pStyle w:val="Heading8"/>
        <w:jc w:val="left"/>
      </w:pPr>
      <w:r>
        <w:t>Zakonske i druge pravne osnove</w:t>
      </w:r>
    </w:p>
    <w:p w:rsidR="00895DD6" w:rsidRDefault="00F31687">
      <w:r>
        <w:t>- Zakon o pomorskom dobru i morskim lukama,  članak 20. stavak 1., članak 27.</w:t>
      </w:r>
    </w:p>
    <w:p w:rsidR="00895DD6" w:rsidRDefault="00F31687">
      <w:pPr>
        <w:pStyle w:val="Heading8"/>
        <w:jc w:val="left"/>
      </w:pPr>
      <w:r>
        <w:t>Opis aktivnosti</w:t>
      </w:r>
    </w:p>
    <w:p w:rsidR="00895DD6" w:rsidRDefault="00F31687">
      <w:r>
        <w:t xml:space="preserve">Ova aktivnost provodi se svake godine.    </w:t>
      </w:r>
    </w:p>
    <w:p w:rsidR="00895DD6" w:rsidRDefault="00F31687">
      <w:r>
        <w:t>Za provedbu određenog pomorskog dobra u katastru i zemljišnim knjigama, nužno je prethodno izraditi prijedlog granice pomorskog dobra (uključujući i granice lučkog područja) od strane nadležnog tijela županije, zatim donijeti Rješenje o određenoj granici p</w:t>
      </w:r>
      <w:r>
        <w:t xml:space="preserve">omorskog dobra (lučkog područja) od strane Ministarstva mora, prometa i infrastrukture, te izraditi geodetski elaborat za evidentiranje određenog pomorskog dobra.       </w:t>
      </w:r>
    </w:p>
    <w:p w:rsidR="00895DD6" w:rsidRDefault="00F31687">
      <w:r>
        <w:t>Novost u Zakonu o pomorskom dobru i morskim lukama je da se geodetski elaborati izrađu</w:t>
      </w:r>
      <w:r>
        <w:t>ju isključivo po službenoj dužnosti, odnosno na način da je isto pitanje u nadležnosti Upravnih odjela za poslove pomorstva u svih 7 priobalnih županija. Na takav način postiže se veća učinkovitost za planiranje, provođenje i praćenje radnji upisa određeno</w:t>
      </w:r>
      <w:r>
        <w:t xml:space="preserve">g pomorskog dobra u službene katastarske i zemljišnoknjižne evidencije.  </w:t>
      </w:r>
    </w:p>
    <w:p w:rsidR="00895DD6" w:rsidRDefault="00F31687">
      <w:r>
        <w:t>Ministarstvo aktivno sudjeluje u sufinanciranju troškova izrade prijedloga granica pomorskog dobra i lučkog područja luka posebne namjene kao i geodetskih elaborata kao pomoć županij</w:t>
      </w:r>
      <w:r>
        <w:t>ama u provedbi istih postupaka te za tu svrhu osigurava sredstva u državnom proračunu Republike Hrvatske svake godine. Korisnici navedenih sredstava su sedam županija u čijoj nadležnosti se nalazi pomorsko dobro. Ministarstvo svake godine šalje Javni poziv</w:t>
      </w:r>
      <w:r>
        <w:t xml:space="preserve"> za dodjelu projektnih prijedloga. Od ukupno osiguranog iznosa od 100.000,00 EUR utrošeno je ukupno 33.100,00 EUR. U 2025. godini  sredstva su dodijeljena kako slijedi:  </w:t>
      </w:r>
    </w:p>
    <w:p w:rsidR="00895DD6" w:rsidRDefault="00F31687">
      <w:r>
        <w:t>1.</w:t>
      </w:r>
      <w:r>
        <w:tab/>
        <w:t xml:space="preserve">Istarskoj županiji iznos od 22.100,00 EUR,  </w:t>
      </w:r>
    </w:p>
    <w:p w:rsidR="00895DD6" w:rsidRDefault="00F31687">
      <w:r>
        <w:t>2.</w:t>
      </w:r>
      <w:r>
        <w:tab/>
        <w:t>Primorsko-goranskoj županiji iznos</w:t>
      </w:r>
      <w:r>
        <w:t xml:space="preserve"> od 11.000,00 EUR.  </w:t>
      </w:r>
    </w:p>
    <w:p w:rsidR="00895DD6" w:rsidRDefault="00F31687">
      <w:r>
        <w:lastRenderedPageBreak/>
        <w:t>Sredstva za sufinanciranje izrade geodetskih elaborata i podloga nisu realizirana u planiranom iznosu, kao ni ostvarena vrijednost jer, unatoč iskazanom interesu, pojedine jedinice područne (regionalne) samouprave nisu dostavile potpun</w:t>
      </w:r>
      <w:r>
        <w:t xml:space="preserve">u dokumentaciju potrebnu za povlačenje sredstava iz državnog proračuna. Bez kompletne dokumentacije nije bilo moguće izvršiti isplatu sredstava za sufinanciranje u tekućoj proračunskoj godini. </w:t>
      </w:r>
    </w:p>
    <w:p w:rsidR="00895DD6" w:rsidRDefault="00F31687">
      <w:r>
        <w:t>Dio sredstava odnosi se i na troškove sudskih postupaka, sudsk</w:t>
      </w:r>
      <w:r>
        <w:t>ih vještačenja te izvlaštenja, na traženje državnih odvjetništava kao zakonskog zastupnika Republike Hrvatske, obzirom da je pomorsko dobro od interesa za Republiku Hrvatsku, a sve u svrhu evidencije, odnosno upisa pomorskog dobra u zemljišnima knjigama, č</w:t>
      </w:r>
      <w:r>
        <w:t xml:space="preserve">ime se doprinosi boljoj i učinkovitijoj zaštiti pomorskog dobra, kao i omogućuje njegova gospodarska valorizacija.      </w:t>
      </w:r>
    </w:p>
    <w:p w:rsidR="00895DD6" w:rsidRDefault="00F31687">
      <w:r>
        <w:t>Danas postoji 520 Uredbi Vlade Republike Hrvatske i više od 930 rješenja Ministarstva, a kojima je određeno približno 2000 kilometara g</w:t>
      </w:r>
      <w:r>
        <w:t xml:space="preserve">ranica pomorskog dobra. </w:t>
      </w:r>
    </w:p>
    <w:p w:rsidR="00895DD6" w:rsidRDefault="00F31687">
      <w:r>
        <w:t xml:space="preserve"> U odnosu na određene granice pomorskog dobra, trenutno u Ministarstvu postoji velika količina podataka, koje treba sistematizirati i oblikovati u Jedinstvenu nacionalnu bazu podataka pomorskog dobra Republike Hrvatske, a za potreb</w:t>
      </w:r>
      <w:r>
        <w:t xml:space="preserve">e raspolaganja istima.       </w:t>
      </w:r>
    </w:p>
    <w:p w:rsidR="00895DD6" w:rsidRDefault="00F31687">
      <w:r>
        <w:t>U 2018. godini nabavljen je Informacijski sustav upravljanja pomorskim dobrom i morskim lukama, (sada: Jedinstvena nacionalna baza podataka pomorskog dobra Republike Hrvatske) te se njegova prilagodba, održavanje i unos podata</w:t>
      </w:r>
      <w:r>
        <w:t>ka kontinuirano provodio u 2025. godini, a isto je planirano i u daljnjem vremenskog periodu, tj. u 2026. godini, a koji pored granica pomorskog dobra i granica lučkih područja, sadrži podatke o koncesijama na pomorskom dobru kao i poveznicu s registrom lu</w:t>
      </w:r>
      <w:r>
        <w:t>ka.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Povećanje broja sufinanciranih podloga i elaborata čiji je krajnji cilj utvrđivanje i provedba granicama utvrđenog pomorskog dobra</w:t>
            </w:r>
          </w:p>
        </w:tc>
        <w:tc>
          <w:tcPr>
            <w:tcW w:w="2551" w:type="dxa"/>
          </w:tcPr>
          <w:p w:rsidR="00895DD6" w:rsidRDefault="00F31687">
            <w:pPr>
              <w:pStyle w:val="CellColumn"/>
              <w:jc w:val="left"/>
            </w:pPr>
            <w:r>
              <w:rPr>
                <w:rFonts w:cs="Times New Roman"/>
              </w:rPr>
              <w:t xml:space="preserve">Povećanjem broja izrađenih geodetskih elaborata i podloga u svrhu utvrđivanja granica pomorskog dobra i lučkih područja luka </w:t>
            </w:r>
            <w:r>
              <w:rPr>
                <w:rFonts w:cs="Times New Roman"/>
              </w:rPr>
              <w:t>posebne namjene osigurava se utvrđivanje granica pomorskog dobra i upis pomorskog dobra kao takvog u zemljišnim knjigama, a što je preduvjet za koncesioniranje pomorskog dobra i ostvarivanje prihoda državnog proračuna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30</w:t>
            </w:r>
          </w:p>
        </w:tc>
        <w:tc>
          <w:tcPr>
            <w:tcW w:w="1020" w:type="dxa"/>
          </w:tcPr>
          <w:p w:rsidR="00895DD6" w:rsidRDefault="00F31687">
            <w:pPr>
              <w:pStyle w:val="CellColumn"/>
              <w:jc w:val="right"/>
            </w:pPr>
            <w:r>
              <w:rPr>
                <w:rFonts w:cs="Times New Roman"/>
              </w:rPr>
              <w:t>23</w:t>
            </w:r>
          </w:p>
        </w:tc>
      </w:tr>
    </w:tbl>
    <w:p w:rsidR="00895DD6" w:rsidRDefault="00895DD6">
      <w:pPr>
        <w:jc w:val="left"/>
      </w:pPr>
    </w:p>
    <w:p w:rsidR="00895DD6" w:rsidRDefault="00F31687">
      <w:pPr>
        <w:pStyle w:val="Heading4"/>
      </w:pPr>
      <w:r>
        <w:t>A570350 DODJELA KO</w:t>
      </w:r>
      <w:r>
        <w:t>NCESIJA NA POMORSKOM DOBRU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A570350-DODJELA KONCESIJA NA POMORSKOM DOBRU</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30.625</w:t>
            </w:r>
          </w:p>
        </w:tc>
        <w:tc>
          <w:tcPr>
            <w:tcW w:w="2041" w:type="dxa"/>
          </w:tcPr>
          <w:p w:rsidR="00895DD6" w:rsidRDefault="00F31687">
            <w:pPr>
              <w:pStyle w:val="CellColumn"/>
              <w:jc w:val="right"/>
            </w:pPr>
            <w:r>
              <w:rPr>
                <w:rFonts w:cs="Times New Roman"/>
              </w:rPr>
              <w:t>30.625</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pomorskom dobru i morskim lukama, članak 52, stavak 2.   </w:t>
      </w:r>
    </w:p>
    <w:p w:rsidR="00895DD6" w:rsidRDefault="00F31687">
      <w:r>
        <w:t xml:space="preserve">- Zakon o izvlaštenju i određivanju naknade, članak 57., stavak 1.   </w:t>
      </w:r>
    </w:p>
    <w:p w:rsidR="00895DD6" w:rsidRDefault="00F31687">
      <w:r>
        <w:lastRenderedPageBreak/>
        <w:t>- Zakon o koncesijama, članak 18., stavak 1.</w:t>
      </w:r>
    </w:p>
    <w:p w:rsidR="00895DD6" w:rsidRDefault="00F31687">
      <w:pPr>
        <w:pStyle w:val="Heading8"/>
        <w:jc w:val="left"/>
      </w:pPr>
      <w:r>
        <w:t>Opis aktivnosti</w:t>
      </w:r>
    </w:p>
    <w:p w:rsidR="00895DD6" w:rsidRDefault="00F31687">
      <w:r>
        <w:t>Postojeći model davanja ko</w:t>
      </w:r>
      <w:r>
        <w:t>ncesija nije u dovoljnoj mjeri usklađen s današnjim zahtjevima za korištenje pomorskog dobra te postoji potreba za izradom nove metodologije kojom bi se unaprijedio postupak dodjele koncesija na pomorskom dobru. Novom metodologijom potrebno je na jasan i c</w:t>
      </w:r>
      <w:r>
        <w:t xml:space="preserve">jelovit način definirati početne iznose koncesijske naknade kod raspisa javnog prikupljanja ponuda i utvrditi kriterije za davanje koncesije za sve vrste koncesija na pomorskom dobru, uvažavajući određene ciljeve i načela. Temeljem navedenog, Ministarstvo </w:t>
      </w:r>
      <w:r>
        <w:t xml:space="preserve">mora, prometa i infrastrukture planira izraditi „Studiju zoniranja pomorskog dobra“.  </w:t>
      </w:r>
    </w:p>
    <w:p w:rsidR="00895DD6" w:rsidRDefault="00F31687">
      <w:r>
        <w:t>Sam proces usklađivanja postojećeg modela s aktualnim potrebama i izazovima zahtijeva temeljitu analizu i stručnu pripremu, što uključuje složenost procjene svih relevan</w:t>
      </w:r>
      <w:r>
        <w:t>tnih čimbenika. Zbog obima i važnosti studije zoniranja pomorskog dobra, potrebno je osigurati odgovarajuće resurse, stručnost i vrijeme za njezinu kvalitetnu izradu. Uzimajući u obzir da se radi o dugoročnom projektu koji uključuje višegodišnje planiranje</w:t>
      </w:r>
      <w:r>
        <w:t xml:space="preserve"> i implementaciju, sam proces izrade metodologije iziskuju temeljit pristup. Izrada nove metodologije zahtijeva usklađivanje sa svim relevantnim zakonodavnim i operativnim okvirom, što je dodatno produžilo dinamiku, te Studija nije izrađena.  </w:t>
      </w:r>
    </w:p>
    <w:p w:rsidR="00895DD6" w:rsidRDefault="00F31687">
      <w:r>
        <w:t>Fokus u nare</w:t>
      </w:r>
      <w:r>
        <w:t xml:space="preserve">dnom razdoblju bit će usmjeren na pronalaženje održivih rješenja kako bi se omogućila provedba planiranih aktivnosti na najbolji mogući način. </w:t>
      </w:r>
    </w:p>
    <w:p w:rsidR="00895DD6" w:rsidRDefault="00F31687">
      <w:r>
        <w:t>Sredstava u iznosu od 30.625,00 EUR utrošena su na pravne usluge vezane uz koncesije.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w:t>
            </w:r>
            <w:r>
              <w:t>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Izrada „Studije zoniranja pomorskog dobra</w:t>
            </w:r>
          </w:p>
        </w:tc>
        <w:tc>
          <w:tcPr>
            <w:tcW w:w="2551" w:type="dxa"/>
          </w:tcPr>
          <w:p w:rsidR="00895DD6" w:rsidRDefault="00F31687">
            <w:pPr>
              <w:pStyle w:val="CellColumn"/>
              <w:jc w:val="left"/>
            </w:pPr>
            <w:r>
              <w:rPr>
                <w:rFonts w:cs="Times New Roman"/>
              </w:rPr>
              <w:t>Postizanje više naknade za koncesiju na područjima koja su gospodarski atraktivnija i infrastrukturno opremljenija, te poticanje ulaganja u gospodarski manje atraktivna područja, kao i infrastrukturno slabije opremljena kroz nižu naknadu za koncesiju</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0,5</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4"/>
      </w:pPr>
      <w:r>
        <w:t>A570482 STIPENDIRANJE REDOVITIH UČENIKA I STUDENATA SREDNJIH POMORSKIH ŠKOLA I POMORSKIH FAKULTETA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A570482-STIPENDIRANJE REDOVITIH UČENIKA I STUDENATA SREDNJIH POMORSKIH ŠKOLA I POMORSKIH FAKULTETA</w:t>
            </w:r>
          </w:p>
        </w:tc>
        <w:tc>
          <w:tcPr>
            <w:tcW w:w="2041" w:type="dxa"/>
          </w:tcPr>
          <w:p w:rsidR="00895DD6" w:rsidRDefault="00F31687">
            <w:pPr>
              <w:pStyle w:val="CellColumn"/>
              <w:jc w:val="right"/>
            </w:pPr>
            <w:r>
              <w:rPr>
                <w:rFonts w:cs="Times New Roman"/>
              </w:rPr>
              <w:t>245.849</w:t>
            </w:r>
          </w:p>
        </w:tc>
        <w:tc>
          <w:tcPr>
            <w:tcW w:w="2041" w:type="dxa"/>
          </w:tcPr>
          <w:p w:rsidR="00895DD6" w:rsidRDefault="00F31687">
            <w:pPr>
              <w:pStyle w:val="CellColumn"/>
              <w:jc w:val="right"/>
            </w:pPr>
            <w:r>
              <w:rPr>
                <w:rFonts w:cs="Times New Roman"/>
              </w:rPr>
              <w:t>261.384</w:t>
            </w:r>
          </w:p>
        </w:tc>
        <w:tc>
          <w:tcPr>
            <w:tcW w:w="2041" w:type="dxa"/>
          </w:tcPr>
          <w:p w:rsidR="00895DD6" w:rsidRDefault="00F31687">
            <w:pPr>
              <w:pStyle w:val="CellColumn"/>
              <w:jc w:val="right"/>
            </w:pPr>
            <w:r>
              <w:rPr>
                <w:rFonts w:cs="Times New Roman"/>
              </w:rPr>
              <w:t>260.842</w:t>
            </w:r>
          </w:p>
        </w:tc>
        <w:tc>
          <w:tcPr>
            <w:tcW w:w="1224" w:type="dxa"/>
          </w:tcPr>
          <w:p w:rsidR="00895DD6" w:rsidRDefault="00F31687">
            <w:pPr>
              <w:pStyle w:val="CellColumn"/>
              <w:jc w:val="right"/>
            </w:pPr>
            <w:r>
              <w:rPr>
                <w:rFonts w:cs="Times New Roman"/>
              </w:rPr>
              <w:t>99,8</w:t>
            </w:r>
          </w:p>
        </w:tc>
        <w:tc>
          <w:tcPr>
            <w:tcW w:w="1224" w:type="dxa"/>
          </w:tcPr>
          <w:p w:rsidR="00895DD6" w:rsidRDefault="00F31687">
            <w:pPr>
              <w:pStyle w:val="CellColumn"/>
              <w:jc w:val="right"/>
            </w:pPr>
            <w:r>
              <w:rPr>
                <w:rFonts w:cs="Times New Roman"/>
              </w:rPr>
              <w:t>106,1</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sustavu državne uprave, članak 17.   </w:t>
      </w:r>
    </w:p>
    <w:p w:rsidR="00895DD6" w:rsidRDefault="00F31687">
      <w:r>
        <w:lastRenderedPageBreak/>
        <w:t>- ODLUKA ministra mora, prometa i infrastrukture - o uvjetima za dodjelu stipendija redovitim studentima preddiplomskog sveučilišnog studija nautičkog i brodostrojarskog smjera, kao i učenicima koji pohađaju srednjoškolsko obrazovanje nautičkog, brodostroj</w:t>
      </w:r>
      <w:r>
        <w:t xml:space="preserve">arskog i ribarsko - nautičkog smjera u akademskoj, odnosno školskoj godini  </w:t>
      </w:r>
    </w:p>
    <w:p w:rsidR="00895DD6" w:rsidRDefault="00F31687">
      <w:r>
        <w:t xml:space="preserve">- UGOVOR o dodjeli stipendije  </w:t>
      </w:r>
    </w:p>
    <w:p w:rsidR="00895DD6" w:rsidRDefault="00F31687">
      <w:r>
        <w:t>- Program stipendiranja redovitih studenata preddiplomskog sveučilišnog studija nautičkog i brodostrojarskog smjera i učenika koji pohađaju srednjo</w:t>
      </w:r>
      <w:r>
        <w:t>školsko obrazovanje nautičkog i brodostrojarskog smjera temelji se na Zaključku Vlade Republike Hrvatske od 23. veljače 2006. godine.</w:t>
      </w:r>
    </w:p>
    <w:p w:rsidR="00895DD6" w:rsidRDefault="00F31687">
      <w:pPr>
        <w:pStyle w:val="Heading8"/>
        <w:jc w:val="left"/>
      </w:pPr>
      <w:r>
        <w:t>Opis aktivnosti</w:t>
      </w:r>
    </w:p>
    <w:p w:rsidR="00895DD6" w:rsidRDefault="00F31687">
      <w:r>
        <w:t>Proračunska sredstva u 2025. godini utrošena su za stipendiranje redovitih učenika i studenata srednjih po</w:t>
      </w:r>
      <w:r>
        <w:t xml:space="preserve">morskih škola i pomorskih fakulteta, temeljem sklopljenih Ugovora o stipendiranju po pojedinom studentu/učeniku, a na osnovu ranije donesenih Rješenja ministra mora, prometa i infrastrukture o dodjeli stipendija za ukupno 131 stipendista ( 2022. godine 26 </w:t>
      </w:r>
      <w:r>
        <w:t>učenika; 2023. godine 45 učenika i 6 studenata; 2024. godine – 50 učenika i 3 studenata i jedna studentica vojnog pomorstva).  Stipendiranje redovitih studenata s 159,27 EUR i učenika s 106,18 EUR mjesečno, projekt je kojeg Ministarstvo mora, prometa i inf</w:t>
      </w:r>
      <w:r>
        <w:t xml:space="preserve">rastrukture provodi još od 2006. godine, a u cilju zaustavljanja trenda pada upisa u pomorske škole i fakultete.  </w:t>
      </w:r>
    </w:p>
    <w:p w:rsidR="00895DD6" w:rsidRDefault="00F31687">
      <w:r>
        <w:t>Nakon provedenog Natječaja za dodjelu stipendija učenicima i studentima srednjih pomorskih škola i fakulteta u školskoj, odnosno akademskoj g</w:t>
      </w:r>
      <w:r>
        <w:t xml:space="preserve">odini 2025./2026., dodijeljeno je 65 stipendija, od toga 54 učeničkih i 11 studentskih. Poticanjem školovanja i specijalističke naobrazbe, vidljivo je da se poboljšava kvaliteta osposobljenih pomoraca na pomorskim školama i fakultetima.   </w:t>
      </w:r>
    </w:p>
    <w:p w:rsidR="00895DD6" w:rsidRDefault="00F31687">
      <w:r>
        <w:t>U 2025. godini Program se nije proveo u potpunosti, obzirom da ugovori sa učenicima i studentima koji su ostvarili pravo na stipendiju u školskoj, odnosno akademskoj godini 2025./2026. nisu potpisani u prosincu 2025. godine, nego u siječnju 2026. godine. T</w:t>
      </w:r>
      <w:r>
        <w:t>akođer, svake godine stipendija se dodjeljuje za isti broj učenika/studenata, međutim teško je procijeniti broj učenika/studenata koji će u školskoj/akademskoj godini završiti školu/studij pa broj stipendista svake godine varira.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w:t>
            </w:r>
            <w:r>
              <w:t>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dodijeljenih školarina i stipendija u oblasti pomorskog prometa</w:t>
            </w:r>
          </w:p>
        </w:tc>
        <w:tc>
          <w:tcPr>
            <w:tcW w:w="2551" w:type="dxa"/>
          </w:tcPr>
          <w:p w:rsidR="00895DD6" w:rsidRDefault="00F31687">
            <w:pPr>
              <w:pStyle w:val="CellColumn"/>
              <w:jc w:val="left"/>
            </w:pPr>
            <w:r>
              <w:rPr>
                <w:rFonts w:cs="Times New Roman"/>
              </w:rPr>
              <w:t>Edukacijom stručnog kadra postiže se kvalitetnija usluga u pomorskom prometu (godišnja vrijednost)</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175</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175</w:t>
            </w:r>
          </w:p>
        </w:tc>
        <w:tc>
          <w:tcPr>
            <w:tcW w:w="1020" w:type="dxa"/>
          </w:tcPr>
          <w:p w:rsidR="00895DD6" w:rsidRDefault="00F31687">
            <w:pPr>
              <w:pStyle w:val="CellColumn"/>
              <w:jc w:val="right"/>
            </w:pPr>
            <w:r>
              <w:rPr>
                <w:rFonts w:cs="Times New Roman"/>
              </w:rPr>
              <w:t>131</w:t>
            </w:r>
          </w:p>
        </w:tc>
      </w:tr>
    </w:tbl>
    <w:p w:rsidR="00895DD6" w:rsidRDefault="00895DD6">
      <w:pPr>
        <w:jc w:val="left"/>
      </w:pPr>
    </w:p>
    <w:p w:rsidR="00895DD6" w:rsidRDefault="00F31687">
      <w:pPr>
        <w:pStyle w:val="Heading4"/>
      </w:pPr>
      <w:r>
        <w:t>A754030 ČLANARINE U MEĐUNARODNIM ORGANIZACIJAMA U POMORSTVU</w:t>
      </w:r>
    </w:p>
    <w:tbl>
      <w:tblPr>
        <w:tblStyle w:val="StilTablice"/>
        <w:tblW w:w="10206" w:type="dxa"/>
        <w:jc w:val="center"/>
        <w:tblLook w:val="04A0" w:firstRow="1" w:lastRow="0" w:firstColumn="1" w:lastColumn="0" w:noHBand="0" w:noVBand="1"/>
      </w:tblPr>
      <w:tblGrid>
        <w:gridCol w:w="1904"/>
        <w:gridCol w:w="1964"/>
        <w:gridCol w:w="1953"/>
        <w:gridCol w:w="1964"/>
        <w:gridCol w:w="1207"/>
        <w:gridCol w:w="121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A754030-ČLANARINE U MEĐUNARODNIM ORGANIZACIJAMA U POMORSTVU</w:t>
            </w:r>
          </w:p>
        </w:tc>
        <w:tc>
          <w:tcPr>
            <w:tcW w:w="2041" w:type="dxa"/>
          </w:tcPr>
          <w:p w:rsidR="00895DD6" w:rsidRDefault="00F31687">
            <w:pPr>
              <w:pStyle w:val="CellColumn"/>
              <w:jc w:val="right"/>
            </w:pPr>
            <w:r>
              <w:rPr>
                <w:rFonts w:cs="Times New Roman"/>
              </w:rPr>
              <w:t>52.415</w:t>
            </w:r>
          </w:p>
        </w:tc>
        <w:tc>
          <w:tcPr>
            <w:tcW w:w="2041" w:type="dxa"/>
          </w:tcPr>
          <w:p w:rsidR="00895DD6" w:rsidRDefault="00F31687">
            <w:pPr>
              <w:pStyle w:val="CellColumn"/>
              <w:jc w:val="right"/>
            </w:pPr>
            <w:r>
              <w:rPr>
                <w:rFonts w:cs="Times New Roman"/>
              </w:rPr>
              <w:t>53.161</w:t>
            </w:r>
          </w:p>
        </w:tc>
        <w:tc>
          <w:tcPr>
            <w:tcW w:w="2041" w:type="dxa"/>
          </w:tcPr>
          <w:p w:rsidR="00895DD6" w:rsidRDefault="00F31687">
            <w:pPr>
              <w:pStyle w:val="CellColumn"/>
              <w:jc w:val="right"/>
            </w:pPr>
            <w:r>
              <w:rPr>
                <w:rFonts w:cs="Times New Roman"/>
              </w:rPr>
              <w:t>53.152</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101,4</w:t>
            </w:r>
          </w:p>
        </w:tc>
      </w:tr>
    </w:tbl>
    <w:p w:rsidR="00895DD6" w:rsidRDefault="00895DD6">
      <w:pPr>
        <w:jc w:val="left"/>
      </w:pPr>
    </w:p>
    <w:p w:rsidR="00895DD6" w:rsidRDefault="00F31687">
      <w:pPr>
        <w:pStyle w:val="Heading8"/>
        <w:jc w:val="left"/>
      </w:pPr>
      <w:r>
        <w:t>Zakonske i druge pravne osnove</w:t>
      </w:r>
    </w:p>
    <w:p w:rsidR="00895DD6" w:rsidRDefault="00F31687">
      <w:r>
        <w:t xml:space="preserve">1. Međunarodna pomorska organizacija (IMO), London, Velika Britanija  </w:t>
      </w:r>
    </w:p>
    <w:p w:rsidR="00895DD6" w:rsidRDefault="00F31687">
      <w:r>
        <w:lastRenderedPageBreak/>
        <w:t xml:space="preserve"> Odlukom o objavljivanju mnogostranih međunarodnih ugovora kojih je Republika Hrvatska stranka, na temelju pristupa (akcesije) (Narodne novine, broj 6/1994, od 6. lipnja 1994. godine) p</w:t>
      </w:r>
      <w:r>
        <w:t xml:space="preserve">ostali smo stranka Konvencije o osnivanju Međuvladine pomorske savjetodavne organizacije (IMCO) (Ženeva, 6. ožujka 1948.). </w:t>
      </w:r>
    </w:p>
    <w:p w:rsidR="00895DD6" w:rsidRDefault="00F31687">
      <w:r>
        <w:t>IMCO je izmjenama i dopunama promijenio ime u Međunarodnu pomorsku organizaciju (IMO) kako se i danas zove. Člankom 60. (prije člana</w:t>
      </w:r>
      <w:r>
        <w:t xml:space="preserve">k 41.) navedene Konvencije određeno je da Skupština odobrava prijedlog proračuna te da raspodjeljuje troškove (doprinos) među državama članicama u skladu sa mjerilima koja utvrdi po razmatranju prijedloga Vijeća.   </w:t>
      </w:r>
    </w:p>
    <w:p w:rsidR="00895DD6" w:rsidRDefault="00F31687">
      <w:r>
        <w:t>2. Međunarodna vlast za morsko dno (ISA)</w:t>
      </w:r>
      <w:r>
        <w:t xml:space="preserve">, Kingston,  Jamajka  </w:t>
      </w:r>
    </w:p>
    <w:p w:rsidR="00895DD6" w:rsidRDefault="00F31687">
      <w:r>
        <w:t>Konvencija Ujedinjenih naroda o pravu mora (UNCLOS) objavljena je u Narodnim novinama- Međunarodni ugovori br. 9/2000. Člankom 156. UNCLOS Konvencije kojim je ustanovljena Međunarodna vlast za morsko dno (ISA) izričito je propisano d</w:t>
      </w:r>
      <w:r>
        <w:t>a su sve države stranke ipso facto članice Vlasti. Člankom  171. UNCLOS Konvencije određeno je da financijska sredstva Vlasti obuhvaćaju, između ostalog, doprinose članova Vlasti određene u skladu sa stavkom 2.(e), članka 160. kojim je određeno da Skupštin</w:t>
      </w:r>
      <w:r>
        <w:t xml:space="preserve">a određuje visine doprinosa članova za upravni proračun Vlasti u skladu s usvojenom skalom razreza, zasnovanoj na skali koja se koristi za redovni proračun Ujedinjenih naroda, dok Vlast ne bude raspolagala s dovoljno prihoda iz drugih izvora za podmirenje </w:t>
      </w:r>
      <w:r>
        <w:t>upravnih troškova. Republika Hrvatska odgovarajuću notifikaciju o sukcesiji položila je kod glavnog tajnika Ujedinjenih naroda 5. travnja 1995. godine.</w:t>
      </w:r>
    </w:p>
    <w:p w:rsidR="00895DD6" w:rsidRDefault="00F31687">
      <w:pPr>
        <w:pStyle w:val="Heading8"/>
        <w:jc w:val="left"/>
      </w:pPr>
      <w:r>
        <w:t>Opis aktivnosti</w:t>
      </w:r>
    </w:p>
    <w:p w:rsidR="00895DD6" w:rsidRDefault="00F31687">
      <w:r>
        <w:t xml:space="preserve">Međunarodna pomorska organizacija (IMO), London je specijalizirana ustanova Ujedinjenih </w:t>
      </w:r>
      <w:r>
        <w:t>naroda osnovana 1948. godine s ciljem suradnje između vlada država članica na području pomorstva te je nadležna za razvoj međunarodnih instrumenata vezano za pomorsku sigurnost, sigurnosnu zaštitu i sprječavanje onečišćenja s brodova. Republika Hrvatska je</w:t>
      </w:r>
      <w:r>
        <w:t xml:space="preserve"> članica od 8. srpnja 1992. godine kada je na temelju pristupa (akcesije) postala stranka Konvencije o osnivanju Međuvladine pomorske savjetodavne organizacije (IMCO) iz 1948. godine, koja je kasnijim izmjenama preimenovana u Konvenciju o Međunarodnoj pomo</w:t>
      </w:r>
      <w:r>
        <w:t>rskoj organizaciji (IMO). Članarina se plaća temeljem izračuna za svaku državu članicu, kojeg verbalnom notom dostavlja glavni tajnik IMO-a unaprijed za svaku godinu, zajedno sa svim podacima za uplatu, a plativa je u roku od 30 dana od dostave tj. prvog d</w:t>
      </w:r>
      <w:r>
        <w:t xml:space="preserve">ana kalendarske godine na koju se odnosi.  </w:t>
      </w:r>
    </w:p>
    <w:p w:rsidR="00895DD6" w:rsidRDefault="00F31687">
      <w:r>
        <w:t xml:space="preserve">Temeljem Izvješća o stanju financija za Republiku Hrvatsku i priloženog Računa dostavljenih od strane Međunarodne pomorske organizacije (IMO) u prosincu 2024. godine, a što je vezano za trošak godišnjeg članstva </w:t>
      </w:r>
      <w:r>
        <w:t xml:space="preserve">Republike Hrvatske u Međunarodnoj pomorskoj organizaciji za 2025. godinu u ukupnom iznosu od 33.782,71 GBP odnosno 40.742,31 EUR,  plaćen je Račun za navedeni iznos u siječnja 2025. godine.  </w:t>
      </w:r>
    </w:p>
    <w:p w:rsidR="00895DD6" w:rsidRDefault="00F31687">
      <w:r>
        <w:t>Međunarodna vlast za morsko dno (ISA), Kingston, Jamajka je orga</w:t>
      </w:r>
      <w:r>
        <w:t>nizacija preko koje države stranke organiziraju i nadziru djelatnosti u Zoni, posebno radi upravljanja bogatstvima Zone (obuhvaća dno mora i oceana i njihovo podzemlje izvan granica nacionalne jurisdikcije). Članarina se plaća temeljem izračuna za svaku dr</w:t>
      </w:r>
      <w:r>
        <w:t xml:space="preserve">žavu članicu kojeg Stalnom predstavništvu Republike Hrvatske u Ujedinjenim narodima dostavlja glavni tajnik ISA-e unaprijed za svaku godinu, zajedno sa svim podacima za uplatu.  </w:t>
      </w:r>
    </w:p>
    <w:p w:rsidR="00895DD6" w:rsidRDefault="00F31687">
      <w:r>
        <w:t>Slijedom dostavljene Informacije o pozivu na uplatu doprinosa Republike Hrvat</w:t>
      </w:r>
      <w:r>
        <w:t>ske za Međunarodnu vlast za morsko dno i priloženog Računa za plaćanje  godišnje članarine za 2025. godinu, isplaćena su sredstava u iznosu od 12.892,07 USD, odnosno 11.847,15 EUR u korist Međunarodne vlasti za morsko dno.</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 xml:space="preserve">Pokazatelj </w:t>
            </w:r>
            <w:r>
              <w:t>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sjednica IMO-a na kojima su sudjelovali predstavnici RH</w:t>
            </w:r>
          </w:p>
        </w:tc>
        <w:tc>
          <w:tcPr>
            <w:tcW w:w="2551" w:type="dxa"/>
          </w:tcPr>
          <w:p w:rsidR="00895DD6" w:rsidRDefault="00F31687">
            <w:pPr>
              <w:pStyle w:val="CellColumn"/>
              <w:jc w:val="left"/>
            </w:pPr>
            <w:r>
              <w:rPr>
                <w:rFonts w:cs="Times New Roman"/>
              </w:rPr>
              <w:t xml:space="preserve">Sudjelovanjem na sjednicama postiže se zastupljenost RH u radu Odbora i Pododbora IMO-a, uključujući i sudjelovanje u donošenju odluka i procesu izrade nacrta međunarodnih instrumenata  </w:t>
            </w:r>
          </w:p>
          <w:p w:rsidR="00895DD6" w:rsidRDefault="00F31687">
            <w:pPr>
              <w:pStyle w:val="CellColumn"/>
              <w:jc w:val="left"/>
            </w:pPr>
            <w:r>
              <w:rPr>
                <w:rFonts w:cs="Times New Roman"/>
              </w:rPr>
              <w:t>(godišnja vrijednost)</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12</w:t>
            </w:r>
          </w:p>
        </w:tc>
        <w:tc>
          <w:tcPr>
            <w:tcW w:w="1020" w:type="dxa"/>
          </w:tcPr>
          <w:p w:rsidR="00895DD6" w:rsidRDefault="00F31687">
            <w:pPr>
              <w:pStyle w:val="CellColumn"/>
              <w:jc w:val="right"/>
            </w:pPr>
            <w:r>
              <w:rPr>
                <w:rFonts w:cs="Times New Roman"/>
              </w:rPr>
              <w:t>15</w:t>
            </w:r>
          </w:p>
        </w:tc>
      </w:tr>
    </w:tbl>
    <w:p w:rsidR="00895DD6" w:rsidRDefault="00895DD6">
      <w:pPr>
        <w:jc w:val="left"/>
      </w:pPr>
    </w:p>
    <w:p w:rsidR="00895DD6" w:rsidRDefault="00F31687">
      <w:pPr>
        <w:pStyle w:val="Heading4"/>
      </w:pPr>
      <w:r>
        <w:lastRenderedPageBreak/>
        <w:t>A754037 SUFINANCIRANJE UKRCAJA VJEŽBENIKA NA BRODOVE U MEĐUNARODNOJ I NACIONALNOJ PLOVIDBI</w:t>
      </w:r>
    </w:p>
    <w:tbl>
      <w:tblPr>
        <w:tblStyle w:val="StilTablice"/>
        <w:tblW w:w="10206" w:type="dxa"/>
        <w:jc w:val="center"/>
        <w:tblLook w:val="04A0" w:firstRow="1" w:lastRow="0" w:firstColumn="1" w:lastColumn="0" w:noHBand="0" w:noVBand="1"/>
      </w:tblPr>
      <w:tblGrid>
        <w:gridCol w:w="1804"/>
        <w:gridCol w:w="1991"/>
        <w:gridCol w:w="1991"/>
        <w:gridCol w:w="1991"/>
        <w:gridCol w:w="1212"/>
        <w:gridCol w:w="1217"/>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 xml:space="preserve">A754037-SUFINANCIRANJE </w:t>
            </w:r>
            <w:r>
              <w:rPr>
                <w:rFonts w:cs="Times New Roman"/>
              </w:rPr>
              <w:t>UKRCAJA VJEŽBENIKA NA BRODOVE U MEĐUNARODNOJ I NACIONALNOJ PLOVIDBI</w:t>
            </w:r>
          </w:p>
        </w:tc>
        <w:tc>
          <w:tcPr>
            <w:tcW w:w="2041" w:type="dxa"/>
          </w:tcPr>
          <w:p w:rsidR="00895DD6" w:rsidRDefault="00F31687">
            <w:pPr>
              <w:pStyle w:val="CellColumn"/>
              <w:jc w:val="right"/>
            </w:pPr>
            <w:r>
              <w:rPr>
                <w:rFonts w:cs="Times New Roman"/>
              </w:rPr>
              <w:t>1.061.782</w:t>
            </w:r>
          </w:p>
        </w:tc>
        <w:tc>
          <w:tcPr>
            <w:tcW w:w="2041" w:type="dxa"/>
          </w:tcPr>
          <w:p w:rsidR="00895DD6" w:rsidRDefault="00F31687">
            <w:pPr>
              <w:pStyle w:val="CellColumn"/>
              <w:jc w:val="right"/>
            </w:pPr>
            <w:r>
              <w:rPr>
                <w:rFonts w:cs="Times New Roman"/>
              </w:rPr>
              <w:t>1.061.782</w:t>
            </w:r>
          </w:p>
        </w:tc>
        <w:tc>
          <w:tcPr>
            <w:tcW w:w="2041" w:type="dxa"/>
          </w:tcPr>
          <w:p w:rsidR="00895DD6" w:rsidRDefault="00F31687">
            <w:pPr>
              <w:pStyle w:val="CellColumn"/>
              <w:jc w:val="right"/>
            </w:pPr>
            <w:r>
              <w:rPr>
                <w:rFonts w:cs="Times New Roman"/>
              </w:rPr>
              <w:t>1.061.782</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Program sufinanciranja ukrcaja vježbenika palube, stroja i elektrotehnike na brodove u međunarodnoj i nacionalnoj plovidbi za razdoblje od 2021. do 2024. godine, kojeg je Vlada Republike Hrvatske usvojila Odlukom od  11. studenog 2021. godine </w:t>
      </w:r>
    </w:p>
    <w:p w:rsidR="00895DD6" w:rsidRDefault="00F31687">
      <w:r>
        <w:t>- Odluka m</w:t>
      </w:r>
      <w:r>
        <w:t>inistra mora, prometa i infrastrukture o raspodjeli proračunskih sredstava subvencije za sufinanciranje vježbeničkog staža pomoraca, točka II.</w:t>
      </w:r>
    </w:p>
    <w:p w:rsidR="00895DD6" w:rsidRDefault="00F31687">
      <w:pPr>
        <w:pStyle w:val="Heading8"/>
        <w:jc w:val="left"/>
      </w:pPr>
      <w:r>
        <w:t>Opis aktivnosti</w:t>
      </w:r>
    </w:p>
    <w:p w:rsidR="00895DD6" w:rsidRDefault="00F31687">
      <w:r>
        <w:t>Program sufinanciranja ukrcaja vježbenika palube, stroja i elektrotehnike na brodove u međunarodn</w:t>
      </w:r>
      <w:r>
        <w:t>oj i nacionalnoj plovidbi za razdoblje od 2025. do 2029. godine za cilj ima stvaranje motivirajućih uvjeta za izbor pomorskih zanimanja, pomoć mladim pomorcima u završetku obrazovnog procesa koji je preduvjet za stjecanje časničkih zvanja u pomorstvu, poti</w:t>
      </w:r>
      <w:r>
        <w:t xml:space="preserve">caj brodarima na ukrcaj hrvatskih vježbenika, smanjenje nezaposlenosti u Republici Hrvatskoj, a na kraju i povećanje prihoda u državnom proračunu. </w:t>
      </w:r>
    </w:p>
    <w:p w:rsidR="00895DD6" w:rsidRDefault="00F31687">
      <w:r>
        <w:t>Uvjet za stjecanje časničkih zvanja temeljem STCW Konvencije i Pravilnika o zvanjima i svjedodžbama o osposo</w:t>
      </w:r>
      <w:r>
        <w:t xml:space="preserve">bljenosti pomoraca je 12 mjeseci plovidbene službe u svojstvu vježbenika palube, vježbenika stroja ili elektrotehnike, od čega najmanje 6 mjeseci mora biti na brodovima u međunarodnoj plovidbi, odnosno najviše 6 mjeseci u nacionalnoj plovidbi.    </w:t>
      </w:r>
    </w:p>
    <w:p w:rsidR="00895DD6" w:rsidRDefault="00F31687">
      <w:r>
        <w:t>Korisnic</w:t>
      </w:r>
      <w:r>
        <w:t>i subvencije mogu biti domaći i strani brodari koji ukrcavaju hrvatske vježbenike na brodove koji plove pod zastavama država članica europske unije, a iznimno i na brodove koji plove pod zastavama trećih država ako je isto opravdano objektivnim kriterijima</w:t>
      </w:r>
      <w:r>
        <w:t xml:space="preserve">, kao što je nedostatak slobodnih mjesta na brodovima država članica EU.  </w:t>
      </w:r>
    </w:p>
    <w:p w:rsidR="00895DD6" w:rsidRDefault="00F31687">
      <w:r>
        <w:t xml:space="preserve">Na temelju Programa za razdoblje od 2025. do 2029. godine i Poziva brodarima za dostavu prijava za određivanje kvota za sufinanciranje ukrcaja vježbenika na brodove u 2025. godini, </w:t>
      </w:r>
      <w:r>
        <w:t>donesena je i objavljena Privremena lista izabranih brodara, a zatim i Odluka ministra o raspodjeli proračunskih sredstava u 2025. godini. Njome je utvrđena raspodjela predviđenih sredstava na 12 brodara - korisnika subvencije: Jadrolinija Rijeka, Atlantsk</w:t>
      </w:r>
      <w:r>
        <w:t>a Plovidba d.d., Dubrovnik, Tankerska Plovidba d.d., Zadar, Brodosplit - Plovidba d.o.o., Samobor, Jadroplov d.d., Split, Korkyra Shipping d.o.o., Korčula, Pronav Schiffahrtsberatung GmbH &amp; Co. KG, Hamburg, Njemačka, Exmar Shipmanagement B.V., Belgija,  Am</w:t>
      </w:r>
      <w:r>
        <w:t xml:space="preserve">asus Shipping B.V., Delfzijl, Nizozemska, Dorian LPG Management Corp., Atena, Grčka, Torm A/S., Hellerup, Danska i Almi Tankers S.A., Grčka. Navedeni brodari su u razdoblju od 01. studenog 2024. do 31. listopada 2025. godine zajedno ukrcali 282 vježbenika </w:t>
      </w:r>
      <w:r>
        <w:t xml:space="preserve">koji su ostvarili ukupni staž u trajanju od 33.466 dana. Subvencija je iznosila 30 EUR po ukrcanom vježbeniku dnevno za vježbenički staž na međunarodnoj, odnosno 15 EUR za staž na brodu u nacionalnoj plovidbi. </w:t>
      </w:r>
    </w:p>
    <w:p w:rsidR="00895DD6" w:rsidRDefault="00F31687">
      <w:r>
        <w:t>Korisnicima subvencije su prema ostvarenim da</w:t>
      </w:r>
      <w:r>
        <w:t xml:space="preserve">nima plovidbe iz Državnog proračuna za 2025. godinu isplaćena sredstva u ukupnom iznosu od 1.061.782 EUR.  </w:t>
      </w:r>
    </w:p>
    <w:p w:rsidR="00895DD6" w:rsidRDefault="00F31687">
      <w:r>
        <w:t>Ostvarena vrijednost u 2025. godini niža je od ciljane vrijednosti uslijed dugotrajne neizvjesnosti na tržištu rada u pomorstvu te smanjenim interes</w:t>
      </w:r>
      <w:r>
        <w:t>om mladih za pomorsku profesiju.</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vježbenika na brodu koji se subvencioniraju</w:t>
            </w:r>
          </w:p>
        </w:tc>
        <w:tc>
          <w:tcPr>
            <w:tcW w:w="2551" w:type="dxa"/>
          </w:tcPr>
          <w:p w:rsidR="00895DD6" w:rsidRDefault="00F31687">
            <w:pPr>
              <w:pStyle w:val="CellColumn"/>
              <w:jc w:val="left"/>
            </w:pPr>
            <w:r>
              <w:rPr>
                <w:rFonts w:cs="Times New Roman"/>
              </w:rPr>
              <w:t>Ukrcavanjem vježbenika na brodove povećava se struktura stručno osposobljenih pomoraca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300</w:t>
            </w:r>
          </w:p>
        </w:tc>
        <w:tc>
          <w:tcPr>
            <w:tcW w:w="1020" w:type="dxa"/>
          </w:tcPr>
          <w:p w:rsidR="00895DD6" w:rsidRDefault="00F31687">
            <w:pPr>
              <w:pStyle w:val="CellColumn"/>
              <w:jc w:val="right"/>
            </w:pPr>
            <w:r>
              <w:rPr>
                <w:rFonts w:cs="Times New Roman"/>
              </w:rPr>
              <w:t>282</w:t>
            </w:r>
          </w:p>
        </w:tc>
      </w:tr>
      <w:tr w:rsidR="00895DD6">
        <w:trPr>
          <w:jc w:val="center"/>
        </w:trPr>
        <w:tc>
          <w:tcPr>
            <w:tcW w:w="2551" w:type="dxa"/>
          </w:tcPr>
          <w:p w:rsidR="00895DD6" w:rsidRDefault="00F31687">
            <w:pPr>
              <w:pStyle w:val="CellColumn"/>
              <w:jc w:val="left"/>
            </w:pPr>
            <w:r>
              <w:rPr>
                <w:rFonts w:cs="Times New Roman"/>
              </w:rPr>
              <w:t>Broj dana koji su vježbenici proveli na brodu</w:t>
            </w:r>
          </w:p>
        </w:tc>
        <w:tc>
          <w:tcPr>
            <w:tcW w:w="2551" w:type="dxa"/>
          </w:tcPr>
          <w:p w:rsidR="00895DD6" w:rsidRDefault="00F31687">
            <w:pPr>
              <w:pStyle w:val="CellColumn"/>
              <w:jc w:val="left"/>
            </w:pPr>
            <w:r>
              <w:rPr>
                <w:rFonts w:cs="Times New Roman"/>
              </w:rPr>
              <w:t>Ukrcavanjem vježbenika na brodove povećava se struktura stručno osposobljenih pomoraca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35.000</w:t>
            </w:r>
          </w:p>
        </w:tc>
        <w:tc>
          <w:tcPr>
            <w:tcW w:w="1020" w:type="dxa"/>
          </w:tcPr>
          <w:p w:rsidR="00895DD6" w:rsidRDefault="00F31687">
            <w:pPr>
              <w:pStyle w:val="CellColumn"/>
              <w:jc w:val="right"/>
            </w:pPr>
            <w:r>
              <w:rPr>
                <w:rFonts w:cs="Times New Roman"/>
              </w:rPr>
              <w:t>33.466</w:t>
            </w:r>
          </w:p>
        </w:tc>
      </w:tr>
    </w:tbl>
    <w:p w:rsidR="00895DD6" w:rsidRDefault="00895DD6">
      <w:pPr>
        <w:jc w:val="left"/>
      </w:pPr>
    </w:p>
    <w:p w:rsidR="00895DD6" w:rsidRDefault="00F31687">
      <w:pPr>
        <w:pStyle w:val="Heading4"/>
      </w:pPr>
      <w:r>
        <w:t>A754044 PROMIDŽBA POMORSTVA REPUBLIKE HRVATSKE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A754044-PROMIDŽBA POMORSTVA REPUBLIKE HRVATSKE</w:t>
            </w:r>
          </w:p>
        </w:tc>
        <w:tc>
          <w:tcPr>
            <w:tcW w:w="2041" w:type="dxa"/>
          </w:tcPr>
          <w:p w:rsidR="00895DD6" w:rsidRDefault="00F31687">
            <w:pPr>
              <w:pStyle w:val="CellColumn"/>
              <w:jc w:val="right"/>
            </w:pPr>
            <w:r>
              <w:rPr>
                <w:rFonts w:cs="Times New Roman"/>
              </w:rPr>
              <w:t>65.936</w:t>
            </w:r>
          </w:p>
        </w:tc>
        <w:tc>
          <w:tcPr>
            <w:tcW w:w="2041" w:type="dxa"/>
          </w:tcPr>
          <w:p w:rsidR="00895DD6" w:rsidRDefault="00F31687">
            <w:pPr>
              <w:pStyle w:val="CellColumn"/>
              <w:jc w:val="right"/>
            </w:pPr>
            <w:r>
              <w:rPr>
                <w:rFonts w:cs="Times New Roman"/>
              </w:rPr>
              <w:t>55.700</w:t>
            </w:r>
          </w:p>
        </w:tc>
        <w:tc>
          <w:tcPr>
            <w:tcW w:w="2041" w:type="dxa"/>
          </w:tcPr>
          <w:p w:rsidR="00895DD6" w:rsidRDefault="00F31687">
            <w:pPr>
              <w:pStyle w:val="CellColumn"/>
              <w:jc w:val="right"/>
            </w:pPr>
            <w:r>
              <w:rPr>
                <w:rFonts w:cs="Times New Roman"/>
              </w:rPr>
              <w:t>53.297</w:t>
            </w:r>
          </w:p>
        </w:tc>
        <w:tc>
          <w:tcPr>
            <w:tcW w:w="1224" w:type="dxa"/>
          </w:tcPr>
          <w:p w:rsidR="00895DD6" w:rsidRDefault="00F31687">
            <w:pPr>
              <w:pStyle w:val="CellColumn"/>
              <w:jc w:val="right"/>
            </w:pPr>
            <w:r>
              <w:rPr>
                <w:rFonts w:cs="Times New Roman"/>
              </w:rPr>
              <w:t>95,7</w:t>
            </w:r>
          </w:p>
        </w:tc>
        <w:tc>
          <w:tcPr>
            <w:tcW w:w="1224" w:type="dxa"/>
          </w:tcPr>
          <w:p w:rsidR="00895DD6" w:rsidRDefault="00F31687">
            <w:pPr>
              <w:pStyle w:val="CellColumn"/>
              <w:jc w:val="right"/>
            </w:pPr>
            <w:r>
              <w:rPr>
                <w:rFonts w:cs="Times New Roman"/>
              </w:rPr>
              <w:t>80,8</w:t>
            </w:r>
          </w:p>
        </w:tc>
      </w:tr>
    </w:tbl>
    <w:p w:rsidR="00895DD6" w:rsidRDefault="00895DD6">
      <w:pPr>
        <w:jc w:val="left"/>
      </w:pPr>
    </w:p>
    <w:p w:rsidR="00895DD6" w:rsidRDefault="00F31687">
      <w:pPr>
        <w:pStyle w:val="Heading8"/>
        <w:jc w:val="left"/>
      </w:pPr>
      <w:r>
        <w:t>Zakonske i druge pravne osnove</w:t>
      </w:r>
    </w:p>
    <w:p w:rsidR="00895DD6" w:rsidRDefault="00F31687">
      <w:r>
        <w:t>- Strategija pomorskog razvitka i integralne pomorske politike Republike Hrvatske za razdoblje od 2014. do 2020. godine; Glava 5 .Jačanje pomorskih znanja i kulture</w:t>
      </w:r>
    </w:p>
    <w:p w:rsidR="00895DD6" w:rsidRDefault="00F31687">
      <w:pPr>
        <w:pStyle w:val="Heading8"/>
        <w:jc w:val="left"/>
      </w:pPr>
      <w:r>
        <w:t>Opis aktivnosti</w:t>
      </w:r>
    </w:p>
    <w:p w:rsidR="00895DD6" w:rsidRDefault="00F31687">
      <w:r>
        <w:t xml:space="preserve">U sklopu manifestacije Dani hrvatskog pomorstva i unutarnje plovidbe u 2025. godini, uz svečanu akademiju na kojoj su dodijeljene nagrade i priznanja svima koji su dali poseban doprinos razvoju pomorstva i unutarnje plovidbe u Republici Hrvatskoj, održana </w:t>
      </w:r>
      <w:r>
        <w:t xml:space="preserve">je i Konferencija o pomorstvu i unutarnjoj plovidbi, o najaktualnijim temama iz područja pomorstva i unutarnje plovidbe. </w:t>
      </w:r>
    </w:p>
    <w:p w:rsidR="00895DD6" w:rsidRDefault="00F31687">
      <w:r>
        <w:t>Planirana  proračunska sredstva utrošena su za pripremu, organizaciju, provedbu i koordinaciju aktivnosti vezanih za Dane hrvatskog po</w:t>
      </w:r>
      <w:r>
        <w:t>morstva i unutarnje plovidbe.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održanih konferencija</w:t>
            </w:r>
          </w:p>
        </w:tc>
        <w:tc>
          <w:tcPr>
            <w:tcW w:w="2551" w:type="dxa"/>
          </w:tcPr>
          <w:p w:rsidR="00895DD6" w:rsidRDefault="00F31687">
            <w:pPr>
              <w:pStyle w:val="CellColumn"/>
              <w:jc w:val="left"/>
            </w:pPr>
            <w:r>
              <w:rPr>
                <w:rFonts w:cs="Times New Roman"/>
              </w:rPr>
              <w:t>Sudjelovanje na manifestaciji ima za cilj uka</w:t>
            </w:r>
            <w:r>
              <w:rPr>
                <w:rFonts w:cs="Times New Roman"/>
              </w:rPr>
              <w:t>zivanje  na važnost hrvatskog pomorskog sektora na europskom i svjetskom tržištu</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lastRenderedPageBreak/>
        <w:t>A810040 PRIPREMA I PROVEDBA PROJEKATA U POMORSTVU</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A810040-PRIPREMA I PROVEDBA PROJEKATA U POMORSTVU</w:t>
            </w:r>
          </w:p>
        </w:tc>
        <w:tc>
          <w:tcPr>
            <w:tcW w:w="2041" w:type="dxa"/>
          </w:tcPr>
          <w:p w:rsidR="00895DD6" w:rsidRDefault="00F31687">
            <w:pPr>
              <w:pStyle w:val="CellColumn"/>
              <w:jc w:val="right"/>
            </w:pPr>
            <w:r>
              <w:rPr>
                <w:rFonts w:cs="Times New Roman"/>
              </w:rPr>
              <w:t>94.971</w:t>
            </w:r>
          </w:p>
        </w:tc>
        <w:tc>
          <w:tcPr>
            <w:tcW w:w="2041" w:type="dxa"/>
          </w:tcPr>
          <w:p w:rsidR="00895DD6" w:rsidRDefault="00F31687">
            <w:pPr>
              <w:pStyle w:val="CellColumn"/>
              <w:jc w:val="right"/>
            </w:pPr>
            <w:r>
              <w:rPr>
                <w:rFonts w:cs="Times New Roman"/>
              </w:rPr>
              <w:t>106.000</w:t>
            </w:r>
          </w:p>
        </w:tc>
        <w:tc>
          <w:tcPr>
            <w:tcW w:w="2041" w:type="dxa"/>
          </w:tcPr>
          <w:p w:rsidR="00895DD6" w:rsidRDefault="00F31687">
            <w:pPr>
              <w:pStyle w:val="CellColumn"/>
              <w:jc w:val="right"/>
            </w:pPr>
            <w:r>
              <w:rPr>
                <w:rFonts w:cs="Times New Roman"/>
              </w:rPr>
              <w:t>104.671</w:t>
            </w:r>
          </w:p>
        </w:tc>
        <w:tc>
          <w:tcPr>
            <w:tcW w:w="1224" w:type="dxa"/>
          </w:tcPr>
          <w:p w:rsidR="00895DD6" w:rsidRDefault="00F31687">
            <w:pPr>
              <w:pStyle w:val="CellColumn"/>
              <w:jc w:val="right"/>
            </w:pPr>
            <w:r>
              <w:rPr>
                <w:rFonts w:cs="Times New Roman"/>
              </w:rPr>
              <w:t>98,7</w:t>
            </w:r>
          </w:p>
        </w:tc>
        <w:tc>
          <w:tcPr>
            <w:tcW w:w="1224" w:type="dxa"/>
          </w:tcPr>
          <w:p w:rsidR="00895DD6" w:rsidRDefault="00F31687">
            <w:pPr>
              <w:pStyle w:val="CellColumn"/>
              <w:jc w:val="right"/>
            </w:pPr>
            <w:r>
              <w:rPr>
                <w:rFonts w:cs="Times New Roman"/>
              </w:rPr>
              <w:t>110,2</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pomorskom dobru i morskim lukama </w:t>
      </w:r>
    </w:p>
    <w:p w:rsidR="00895DD6" w:rsidRDefault="00F31687">
      <w:r>
        <w:t xml:space="preserve">- Pomorski zakonik , članak 6., stavak 8.  </w:t>
      </w:r>
    </w:p>
    <w:p w:rsidR="00895DD6" w:rsidRDefault="00F31687">
      <w:r>
        <w:t xml:space="preserve">- Direktiva 2014/94/EU Europskog parlamenta i Vijeća od 22. listopada 2014. o uspostavi infrastrukture za alternativna goriva  </w:t>
      </w:r>
    </w:p>
    <w:p w:rsidR="00895DD6" w:rsidRDefault="00F31687">
      <w:r>
        <w:t xml:space="preserve">- Zakon o uspostavi infrastrukture za alternativna goriva  </w:t>
      </w:r>
    </w:p>
    <w:p w:rsidR="00895DD6" w:rsidRDefault="00F31687">
      <w:r>
        <w:t>- Nacionalni okvir polit</w:t>
      </w:r>
      <w:r>
        <w:t xml:space="preserve">ike za uspostavu infrastrukture i razvoj tržišta alternativnih goriva u prometu  </w:t>
      </w:r>
    </w:p>
    <w:p w:rsidR="00895DD6" w:rsidRDefault="00F31687">
      <w:r>
        <w:t xml:space="preserve">- Program Vlade Republike Hrvatske za razdoblje od 2020.-2024. godine </w:t>
      </w:r>
    </w:p>
    <w:p w:rsidR="00895DD6" w:rsidRDefault="00F31687">
      <w:r>
        <w:t>- Nacionalni plan razvoja obalnog linijskog pomorskog prometa do 2030. godine</w:t>
      </w:r>
    </w:p>
    <w:p w:rsidR="00895DD6" w:rsidRDefault="00F31687">
      <w:pPr>
        <w:pStyle w:val="Heading8"/>
        <w:jc w:val="left"/>
      </w:pPr>
      <w:r>
        <w:t>Opis aktivnosti</w:t>
      </w:r>
    </w:p>
    <w:p w:rsidR="00895DD6" w:rsidRDefault="00F31687">
      <w:r>
        <w:t xml:space="preserve">Sredstva </w:t>
      </w:r>
      <w:r>
        <w:t xml:space="preserve">sa ove aktivnosti utrošena su za plaćanje obavljenih usluga Financijske agencije, Zagreb (FINA) vezano na izvršavanje Zakona o trošarinama  i Pravilnika o uvjetima i načinu oslobođenja od plaćanja trošarine na energente koji se koriste kao pogonsko gorivo </w:t>
      </w:r>
      <w:r>
        <w:t xml:space="preserve">za plovidbu u ukupnom iznosu od 68.421,36 EUR.   </w:t>
      </w:r>
    </w:p>
    <w:p w:rsidR="00895DD6" w:rsidRDefault="00F31687">
      <w:r>
        <w:t xml:space="preserve">Računi Financijske agencije koji se dostavljaju ovom Ministarstvu na naplatu mjesečno odnose se na plaćanje izvršene usluge programske podrške Sustavu nadzora potrošnje plinskog ulja za gospodarske i javne </w:t>
      </w:r>
      <w:r>
        <w:t xml:space="preserve">namjene u plovidbi, uz dostavljeni mjesečni Izvještaj  o istome.  </w:t>
      </w:r>
    </w:p>
    <w:p w:rsidR="00895DD6" w:rsidRDefault="00F31687">
      <w:r>
        <w:t xml:space="preserve">Dio sredstava utrošen je za pravne usluge koje će služiti kao podloga za izmjene i dopune Zakona o prijevozu u linijskom i povremenom obalnom pomorskom prometu.  </w:t>
      </w:r>
    </w:p>
    <w:p w:rsidR="00895DD6" w:rsidRDefault="00F31687">
      <w:r>
        <w:t>Resursi planirani za imple</w:t>
      </w:r>
      <w:r>
        <w:t>mentaciju planiranih strategija i nacionalnih planova nisu iskorišteni radi usklađivanja među relevantnim dionicima, što je rezultiralo odgodom početka implementacije aktivnosti.</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w:t>
            </w:r>
            <w:r>
              <w:rPr>
                <w:rFonts w:cs="Times New Roman"/>
              </w:rPr>
              <w:t>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Izrađena Strategija pomorskog razvitka i integralne pomorske politike RH za razdoblje 2024.-2031.</w:t>
            </w:r>
          </w:p>
        </w:tc>
        <w:tc>
          <w:tcPr>
            <w:tcW w:w="2551" w:type="dxa"/>
          </w:tcPr>
          <w:p w:rsidR="00895DD6" w:rsidRDefault="00F31687">
            <w:pPr>
              <w:pStyle w:val="CellColumn"/>
              <w:jc w:val="left"/>
            </w:pPr>
            <w:r>
              <w:rPr>
                <w:rFonts w:cs="Times New Roman"/>
              </w:rPr>
              <w:t>Izrađenom Strategijom pomorskog razvitka i integralne pomorske politike RH za razdoblje 2024.-2031. pomorski sektor će dobiti nove strateške smjernice razvoja sukladno Zajedničkim politikama Europske Unije.</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3"/>
      </w:pPr>
      <w:r>
        <w:rPr>
          <w:rFonts w:cs="Times New Roman"/>
        </w:rPr>
        <w:lastRenderedPageBreak/>
        <w:t>3118 RAZVOJ I SIGURNOST KOPNENO</w:t>
      </w:r>
      <w:r>
        <w:rPr>
          <w:rFonts w:cs="Times New Roman"/>
        </w:rPr>
        <w:t>G PROMETA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895DD6">
            <w:pPr>
              <w:pStyle w:val="CellHeader"/>
              <w:jc w:val="center"/>
            </w:pP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Index izvršenje 2025./2024.</w:t>
            </w:r>
          </w:p>
        </w:tc>
      </w:tr>
      <w:tr w:rsidR="00895DD6">
        <w:trPr>
          <w:jc w:val="center"/>
        </w:trPr>
        <w:tc>
          <w:tcPr>
            <w:tcW w:w="1632" w:type="dxa"/>
          </w:tcPr>
          <w:p w:rsidR="00895DD6" w:rsidRDefault="00F31687">
            <w:pPr>
              <w:pStyle w:val="CellColumn"/>
              <w:jc w:val="left"/>
            </w:pPr>
            <w:r>
              <w:rPr>
                <w:rFonts w:cs="Times New Roman"/>
              </w:rPr>
              <w:t>3118-RAZVOJ I SIGURNOST KOPNENOG PROMETA</w:t>
            </w:r>
          </w:p>
        </w:tc>
        <w:tc>
          <w:tcPr>
            <w:tcW w:w="2041" w:type="dxa"/>
          </w:tcPr>
          <w:p w:rsidR="00895DD6" w:rsidRDefault="00F31687">
            <w:pPr>
              <w:pStyle w:val="CellColumn"/>
              <w:jc w:val="right"/>
            </w:pPr>
            <w:r>
              <w:rPr>
                <w:rFonts w:cs="Times New Roman"/>
              </w:rPr>
              <w:t>215.062.835</w:t>
            </w:r>
          </w:p>
        </w:tc>
        <w:tc>
          <w:tcPr>
            <w:tcW w:w="2041" w:type="dxa"/>
          </w:tcPr>
          <w:p w:rsidR="00895DD6" w:rsidRDefault="00F31687">
            <w:pPr>
              <w:pStyle w:val="CellColumn"/>
              <w:jc w:val="right"/>
            </w:pPr>
            <w:r>
              <w:rPr>
                <w:rFonts w:cs="Times New Roman"/>
              </w:rPr>
              <w:t>350.840.577</w:t>
            </w:r>
          </w:p>
        </w:tc>
        <w:tc>
          <w:tcPr>
            <w:tcW w:w="2041" w:type="dxa"/>
          </w:tcPr>
          <w:p w:rsidR="00895DD6" w:rsidRDefault="00F31687">
            <w:pPr>
              <w:pStyle w:val="CellColumn"/>
              <w:jc w:val="right"/>
            </w:pPr>
            <w:r>
              <w:rPr>
                <w:rFonts w:cs="Times New Roman"/>
              </w:rPr>
              <w:t>347.923.782</w:t>
            </w:r>
          </w:p>
        </w:tc>
        <w:tc>
          <w:tcPr>
            <w:tcW w:w="1224" w:type="dxa"/>
          </w:tcPr>
          <w:p w:rsidR="00895DD6" w:rsidRDefault="00F31687">
            <w:pPr>
              <w:pStyle w:val="CellColumn"/>
              <w:jc w:val="right"/>
            </w:pPr>
            <w:r>
              <w:rPr>
                <w:rFonts w:cs="Times New Roman"/>
              </w:rPr>
              <w:t>99,2</w:t>
            </w:r>
          </w:p>
        </w:tc>
        <w:tc>
          <w:tcPr>
            <w:tcW w:w="1224" w:type="dxa"/>
          </w:tcPr>
          <w:p w:rsidR="00895DD6" w:rsidRDefault="00F31687">
            <w:pPr>
              <w:pStyle w:val="CellColumn"/>
              <w:jc w:val="right"/>
            </w:pPr>
            <w:r>
              <w:rPr>
                <w:rFonts w:cs="Times New Roman"/>
              </w:rPr>
              <w:t>161,8</w:t>
            </w:r>
          </w:p>
        </w:tc>
      </w:tr>
    </w:tbl>
    <w:p w:rsidR="00895DD6" w:rsidRDefault="00895DD6">
      <w:pPr>
        <w:jc w:val="left"/>
      </w:pPr>
    </w:p>
    <w:p w:rsidR="00895DD6" w:rsidRDefault="00F31687">
      <w:r>
        <w:t xml:space="preserve">Tržište željezničkog teretnog prijevoza u značajnom je padu još od zadnjeg kvartala 2024. godine, a u 2025. godini bilježi ukupan pad od 21% u odnosu na prethodnu godinu.  </w:t>
      </w:r>
    </w:p>
    <w:p w:rsidR="00895DD6" w:rsidRDefault="00F31687">
      <w:r>
        <w:t>Kao glavni razlozi pada tržišta željezničkog prijevoza tereta prepoznati su učestal</w:t>
      </w:r>
      <w:r>
        <w:t xml:space="preserve">i neprekidni zatvori pruga uslijed velikih radova na rekonstrukciji i održavanju pruga u Hrvatskoj, veliki pad industrijske proizvodnje u EU, smanjenje prijevoza poljoprivrednih proizvoda te geopolitička situacija, jer većina pomorskih prijevoznika unazad </w:t>
      </w:r>
      <w:r>
        <w:t>više od godinu dana izbjegava Sueski kanal zbog sigurnosnih razloga. Iz tog razloga zaobilaze mediteranske luke, jer se produžava vrijeme plovidbe (ukupni “transit time“) i svoje brodove usmjeravaju prema lukama na sjeveru Europe (ovo je trend koji je zapo</w:t>
      </w:r>
      <w:r>
        <w:t>čeo još u 2024. godini isada se samo intenzivirao). Cijelu situaciju željezničkog prijevoza otežava i slab kapacitet graničnog prijelaza Tovarnik – Šid kao jedne od ključnih točaka tranzitnog pravca koji prolazi kroz RH, a na kojem se zbog striktnih primje</w:t>
      </w:r>
      <w:r>
        <w:t>na Shengena tranzitna vremena produljuju te se time stvaraju uska grla u oba pravca</w:t>
      </w:r>
    </w:p>
    <w:p w:rsidR="00895DD6" w:rsidRDefault="00F31687">
      <w:pPr>
        <w:pStyle w:val="Heading8"/>
        <w:jc w:val="left"/>
      </w:pPr>
      <w:r>
        <w:t>Cilj 1. Osigurati pružanje kvalitetnije usluge željezničkim korisnicima kroz učinkovito upravljanje željezničkim sektorom</w:t>
      </w:r>
    </w:p>
    <w:p w:rsidR="00895DD6" w:rsidRDefault="00F31687">
      <w:pPr>
        <w:pStyle w:val="Heading8"/>
        <w:jc w:val="left"/>
      </w:pPr>
      <w:r>
        <w:t>Opis provedbe cilja programa</w:t>
      </w:r>
    </w:p>
    <w:p w:rsidR="00895DD6" w:rsidRDefault="00F31687">
      <w:pPr>
        <w:pStyle w:val="Heading8"/>
        <w:jc w:val="left"/>
      </w:pPr>
      <w:r>
        <w:t>Pokazatelji učinka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w:t>
            </w:r>
            <w:r>
              <w:t>kazatelj učinka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918"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Povećan (modalni) udio prijevoza tereta željeznicom u odnosu na ostale modalitete prijevoza</w:t>
            </w:r>
          </w:p>
        </w:tc>
        <w:tc>
          <w:tcPr>
            <w:tcW w:w="2551" w:type="dxa"/>
          </w:tcPr>
          <w:p w:rsidR="00895DD6" w:rsidRDefault="00F31687">
            <w:pPr>
              <w:pStyle w:val="CellColumn"/>
              <w:jc w:val="left"/>
            </w:pPr>
            <w:r>
              <w:rPr>
                <w:rFonts w:cs="Times New Roman"/>
              </w:rPr>
              <w:t>Pružanje kvalitetnije usluge željezničkog prijevoza dovest će do povećanja teretnog prijevoza u odnosu na ostale modalitete na području RH</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20,75</w:t>
            </w:r>
          </w:p>
        </w:tc>
        <w:tc>
          <w:tcPr>
            <w:tcW w:w="1020" w:type="dxa"/>
          </w:tcPr>
          <w:p w:rsidR="00895DD6" w:rsidRDefault="00F31687">
            <w:pPr>
              <w:pStyle w:val="CellColumn"/>
              <w:jc w:val="right"/>
            </w:pPr>
            <w:r>
              <w:rPr>
                <w:rFonts w:cs="Times New Roman"/>
              </w:rPr>
              <w:t>Državni zavod za statistiku</w:t>
            </w:r>
          </w:p>
        </w:tc>
        <w:tc>
          <w:tcPr>
            <w:tcW w:w="1020" w:type="dxa"/>
          </w:tcPr>
          <w:p w:rsidR="00895DD6" w:rsidRDefault="00F31687">
            <w:pPr>
              <w:pStyle w:val="CellColumn"/>
              <w:jc w:val="right"/>
            </w:pPr>
            <w:r>
              <w:rPr>
                <w:rFonts w:cs="Times New Roman"/>
              </w:rPr>
              <w:t>25,25</w:t>
            </w:r>
          </w:p>
        </w:tc>
        <w:tc>
          <w:tcPr>
            <w:tcW w:w="1020" w:type="dxa"/>
          </w:tcPr>
          <w:p w:rsidR="00895DD6" w:rsidRDefault="00F31687">
            <w:pPr>
              <w:pStyle w:val="CellColumn"/>
              <w:jc w:val="right"/>
            </w:pPr>
            <w:r>
              <w:rPr>
                <w:rFonts w:cs="Times New Roman"/>
              </w:rPr>
              <w:t>16,33</w:t>
            </w:r>
          </w:p>
        </w:tc>
      </w:tr>
      <w:tr w:rsidR="00895DD6">
        <w:trPr>
          <w:jc w:val="center"/>
        </w:trPr>
        <w:tc>
          <w:tcPr>
            <w:tcW w:w="2551" w:type="dxa"/>
          </w:tcPr>
          <w:p w:rsidR="00895DD6" w:rsidRDefault="00F31687">
            <w:pPr>
              <w:pStyle w:val="CellColumn"/>
              <w:jc w:val="left"/>
            </w:pPr>
            <w:r>
              <w:rPr>
                <w:rFonts w:cs="Times New Roman"/>
              </w:rPr>
              <w:t>Povećan broj putnika u željezničkom prijevozu u odnosu na druge obli</w:t>
            </w:r>
            <w:r>
              <w:rPr>
                <w:rFonts w:cs="Times New Roman"/>
              </w:rPr>
              <w:t>ke prijevoza</w:t>
            </w:r>
          </w:p>
        </w:tc>
        <w:tc>
          <w:tcPr>
            <w:tcW w:w="2551" w:type="dxa"/>
          </w:tcPr>
          <w:p w:rsidR="00895DD6" w:rsidRDefault="00F31687">
            <w:pPr>
              <w:pStyle w:val="CellColumn"/>
              <w:jc w:val="left"/>
            </w:pPr>
            <w:r>
              <w:rPr>
                <w:rFonts w:cs="Times New Roman"/>
              </w:rPr>
              <w:t>Pružanje kvalitetnije usluge željezničkim korisnicima dovest će do povećanja broja putnika u odnosu na ostale oblike prijevoza na području RH</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18.591</w:t>
            </w:r>
          </w:p>
        </w:tc>
        <w:tc>
          <w:tcPr>
            <w:tcW w:w="1020" w:type="dxa"/>
          </w:tcPr>
          <w:p w:rsidR="00895DD6" w:rsidRDefault="00F31687">
            <w:pPr>
              <w:pStyle w:val="CellColumn"/>
              <w:jc w:val="right"/>
            </w:pPr>
            <w:r>
              <w:rPr>
                <w:rFonts w:cs="Times New Roman"/>
              </w:rPr>
              <w:t>HŽPP</w:t>
            </w:r>
          </w:p>
        </w:tc>
        <w:tc>
          <w:tcPr>
            <w:tcW w:w="1020" w:type="dxa"/>
          </w:tcPr>
          <w:p w:rsidR="00895DD6" w:rsidRDefault="00F31687">
            <w:pPr>
              <w:pStyle w:val="CellColumn"/>
              <w:jc w:val="right"/>
            </w:pPr>
            <w:r>
              <w:rPr>
                <w:rFonts w:cs="Times New Roman"/>
              </w:rPr>
              <w:t>24,009</w:t>
            </w:r>
          </w:p>
        </w:tc>
        <w:tc>
          <w:tcPr>
            <w:tcW w:w="1020" w:type="dxa"/>
          </w:tcPr>
          <w:p w:rsidR="00895DD6" w:rsidRDefault="00F31687">
            <w:pPr>
              <w:pStyle w:val="CellColumn"/>
              <w:jc w:val="right"/>
            </w:pPr>
            <w:r>
              <w:rPr>
                <w:rFonts w:cs="Times New Roman"/>
              </w:rPr>
              <w:t>26402736</w:t>
            </w:r>
          </w:p>
        </w:tc>
      </w:tr>
    </w:tbl>
    <w:p w:rsidR="00895DD6" w:rsidRDefault="00895DD6">
      <w:pPr>
        <w:jc w:val="left"/>
      </w:pPr>
    </w:p>
    <w:p w:rsidR="00895DD6" w:rsidRDefault="00F31687">
      <w:pPr>
        <w:pStyle w:val="Heading4"/>
      </w:pPr>
      <w:r>
        <w:t>A570334 UPRAVLJANJE, ORGANIZACIJA I REGULACIJA ŽELJEZNIČKOG PROMETA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lastRenderedPageBreak/>
              <w:t>A570334-UPRAVLJANJE, ORGANIZACIJA I REGULACIJA ŽELJEZNIČKOG PROMETA</w:t>
            </w:r>
          </w:p>
        </w:tc>
        <w:tc>
          <w:tcPr>
            <w:tcW w:w="2041" w:type="dxa"/>
          </w:tcPr>
          <w:p w:rsidR="00895DD6" w:rsidRDefault="00F31687">
            <w:pPr>
              <w:pStyle w:val="CellColumn"/>
              <w:jc w:val="right"/>
            </w:pPr>
            <w:r>
              <w:rPr>
                <w:rFonts w:cs="Times New Roman"/>
              </w:rPr>
              <w:t>63.900.000</w:t>
            </w:r>
          </w:p>
        </w:tc>
        <w:tc>
          <w:tcPr>
            <w:tcW w:w="2041" w:type="dxa"/>
          </w:tcPr>
          <w:p w:rsidR="00895DD6" w:rsidRDefault="00F31687">
            <w:pPr>
              <w:pStyle w:val="CellColumn"/>
              <w:jc w:val="right"/>
            </w:pPr>
            <w:r>
              <w:rPr>
                <w:rFonts w:cs="Times New Roman"/>
              </w:rPr>
              <w:t>117.181.759</w:t>
            </w:r>
          </w:p>
        </w:tc>
        <w:tc>
          <w:tcPr>
            <w:tcW w:w="2041" w:type="dxa"/>
          </w:tcPr>
          <w:p w:rsidR="00895DD6" w:rsidRDefault="00F31687">
            <w:pPr>
              <w:pStyle w:val="CellColumn"/>
              <w:jc w:val="right"/>
            </w:pPr>
            <w:r>
              <w:rPr>
                <w:rFonts w:cs="Times New Roman"/>
              </w:rPr>
              <w:t>117.181.759</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183,4</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članak, 19. stavak 1.    </w:t>
      </w:r>
    </w:p>
    <w:p w:rsidR="00895DD6" w:rsidRDefault="00F31687">
      <w:r>
        <w:t xml:space="preserve">- Strategija prometnog razvoja Republike Hrvatske (2017. - 2030.)  </w:t>
      </w:r>
    </w:p>
    <w:p w:rsidR="00895DD6" w:rsidRDefault="00F31687">
      <w:r>
        <w:t>- Ugovor o međusobnim pravima i obvezama u vezi s financiranjem upravljanja željezničkom infrastrukturom u širem smislu</w:t>
      </w:r>
    </w:p>
    <w:p w:rsidR="00895DD6" w:rsidRDefault="00F31687">
      <w:pPr>
        <w:pStyle w:val="Heading8"/>
        <w:jc w:val="left"/>
      </w:pPr>
      <w:r>
        <w:t>Opis aktivnosti</w:t>
      </w:r>
    </w:p>
    <w:p w:rsidR="00895DD6" w:rsidRDefault="00F31687">
      <w:r>
        <w:t>Tijekom 2025. godine društvu HŽ INFRASTRUKTURA d.o.o</w:t>
      </w:r>
      <w:r>
        <w:t xml:space="preserve">. doznačena su proračunska sredstva u ukupnom iznosu od 117.181.759,00 EUR, a koja su u cijelosti utrošena za sljedeće namjene: </w:t>
      </w:r>
    </w:p>
    <w:p w:rsidR="00895DD6" w:rsidRDefault="00F31687">
      <w:r>
        <w:t>˗</w:t>
      </w:r>
      <w:r>
        <w:tab/>
        <w:t>trošak radnika koji obuhvaćaju plaće, naknade za prijevoz, jednokratne dodatke i ostala materijalna prava temeljem važećeg Ko</w:t>
      </w:r>
      <w:r>
        <w:t xml:space="preserve">lektivnom ugovora HŽ INFRASTRUKTURE d.o.o. u iznosu od 105.327.068,74 EUR, </w:t>
      </w:r>
    </w:p>
    <w:p w:rsidR="00895DD6" w:rsidRDefault="00F31687">
      <w:r>
        <w:t>˗</w:t>
      </w:r>
      <w:r>
        <w:tab/>
        <w:t>podmirenje obveza prema dobavljačima za materijal, energiju i usluge u iznosu od 11.854.690,26 EUR.</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w:t>
            </w:r>
            <w:r>
              <w:rPr>
                <w:rFonts w:cs="Times New Roman"/>
              </w:rPr>
              <w:t>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izvršenosti Ugovora</w:t>
            </w:r>
          </w:p>
        </w:tc>
        <w:tc>
          <w:tcPr>
            <w:tcW w:w="2551" w:type="dxa"/>
          </w:tcPr>
          <w:p w:rsidR="00895DD6" w:rsidRDefault="00F31687">
            <w:pPr>
              <w:pStyle w:val="CellColumn"/>
              <w:jc w:val="left"/>
            </w:pPr>
            <w:r>
              <w:rPr>
                <w:rFonts w:cs="Times New Roman"/>
              </w:rPr>
              <w:t>Na temelju zakonske regulative planirana su sredstva iz državnog proračuna za podmirenje troškova upravljanja prometom, organizaciju i regulaciju željezničkog prometa</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183,40</w:t>
            </w:r>
          </w:p>
        </w:tc>
      </w:tr>
    </w:tbl>
    <w:p w:rsidR="00895DD6" w:rsidRDefault="00895DD6">
      <w:pPr>
        <w:jc w:val="left"/>
      </w:pPr>
    </w:p>
    <w:p w:rsidR="00895DD6" w:rsidRDefault="00F31687">
      <w:pPr>
        <w:pStyle w:val="Heading4"/>
      </w:pPr>
      <w:r>
        <w:t>A570491 UNAPREĐENJE STRUKTURNIH REFORMI ŽELJEZNICE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A570491-UNAPREĐENJE STRUKTURNIH REFORMI ŽELJEZNICE</w:t>
            </w:r>
          </w:p>
        </w:tc>
        <w:tc>
          <w:tcPr>
            <w:tcW w:w="2041" w:type="dxa"/>
          </w:tcPr>
          <w:p w:rsidR="00895DD6" w:rsidRDefault="00F31687">
            <w:pPr>
              <w:pStyle w:val="CellColumn"/>
              <w:jc w:val="right"/>
            </w:pPr>
            <w:r>
              <w:rPr>
                <w:rFonts w:cs="Times New Roman"/>
              </w:rPr>
              <w:t>96.581</w:t>
            </w:r>
          </w:p>
        </w:tc>
        <w:tc>
          <w:tcPr>
            <w:tcW w:w="2041" w:type="dxa"/>
          </w:tcPr>
          <w:p w:rsidR="00895DD6" w:rsidRDefault="00F31687">
            <w:pPr>
              <w:pStyle w:val="CellColumn"/>
              <w:jc w:val="right"/>
            </w:pPr>
            <w:r>
              <w:rPr>
                <w:rFonts w:cs="Times New Roman"/>
              </w:rPr>
              <w:t>147.432</w:t>
            </w:r>
          </w:p>
        </w:tc>
        <w:tc>
          <w:tcPr>
            <w:tcW w:w="2041" w:type="dxa"/>
          </w:tcPr>
          <w:p w:rsidR="00895DD6" w:rsidRDefault="00F31687">
            <w:pPr>
              <w:pStyle w:val="CellColumn"/>
              <w:jc w:val="right"/>
            </w:pPr>
            <w:r>
              <w:rPr>
                <w:rFonts w:cs="Times New Roman"/>
              </w:rPr>
              <w:t>133.877</w:t>
            </w:r>
          </w:p>
        </w:tc>
        <w:tc>
          <w:tcPr>
            <w:tcW w:w="1224" w:type="dxa"/>
          </w:tcPr>
          <w:p w:rsidR="00895DD6" w:rsidRDefault="00F31687">
            <w:pPr>
              <w:pStyle w:val="CellColumn"/>
              <w:jc w:val="right"/>
            </w:pPr>
            <w:r>
              <w:rPr>
                <w:rFonts w:cs="Times New Roman"/>
              </w:rPr>
              <w:t>90,8</w:t>
            </w:r>
          </w:p>
        </w:tc>
        <w:tc>
          <w:tcPr>
            <w:tcW w:w="1224" w:type="dxa"/>
          </w:tcPr>
          <w:p w:rsidR="00895DD6" w:rsidRDefault="00F31687">
            <w:pPr>
              <w:pStyle w:val="CellColumn"/>
              <w:jc w:val="right"/>
            </w:pPr>
            <w:r>
              <w:rPr>
                <w:rFonts w:cs="Times New Roman"/>
              </w:rPr>
              <w:t>138,6</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potvrđivanju protokola od 3. lipnja 1999. godine o izmjenama Konvencije o međunarodnom željezničkom prijevozu (COTIF) od 9. svibnja 1980. godine svojim potpisom pristupila međunarodnoj organizaciji OTIF-u (funkcija </w:t>
      </w:r>
      <w:r>
        <w:t xml:space="preserve">Depozitarne uprave COTIF-a)  </w:t>
      </w:r>
    </w:p>
    <w:p w:rsidR="00895DD6" w:rsidRDefault="00F31687">
      <w:r>
        <w:t xml:space="preserve">- Zakon o potvrđivanju (ratifikaciji) Fondacijskog ugovora o suradnji "Transeuropske željeznice (TER)"od 28. lipnja 1993. godine, koji je potpisan 21. srpnja 1993. godine  </w:t>
      </w:r>
    </w:p>
    <w:p w:rsidR="00895DD6" w:rsidRDefault="00F31687">
      <w:r>
        <w:lastRenderedPageBreak/>
        <w:t xml:space="preserve">- Zakon o sigurnosti i interoperabilnosti željezničkog sustava   </w:t>
      </w:r>
    </w:p>
    <w:p w:rsidR="00895DD6" w:rsidRDefault="00F31687">
      <w:r>
        <w:t xml:space="preserve">- Zakon o regulaciji tržišta željezničkih usluga i zaštiti prava putnika u željezničkom prijevozu  </w:t>
      </w:r>
    </w:p>
    <w:p w:rsidR="00895DD6" w:rsidRDefault="00F31687">
      <w:r>
        <w:t xml:space="preserve">- Zakon o sustavu strateškog planiranja i upravljanja razvojem Republike Hrvatske  </w:t>
      </w:r>
    </w:p>
    <w:p w:rsidR="00895DD6" w:rsidRDefault="00F31687">
      <w:r>
        <w:t>- Stra</w:t>
      </w:r>
      <w:r>
        <w:t xml:space="preserve">tegija razvoja željezničkog sustava Republike Hrvatske do 2032. godine  </w:t>
      </w:r>
    </w:p>
    <w:p w:rsidR="00895DD6" w:rsidRDefault="00F31687">
      <w:r>
        <w:t xml:space="preserve">- Nacionalni plan upravljanja željezničkom infrastrukturom i uslužnim objektima i razvoja usluga željezničkog prijevoza za razdoblje do 2030. godine  </w:t>
      </w:r>
    </w:p>
    <w:p w:rsidR="00895DD6" w:rsidRDefault="00F31687">
      <w:r>
        <w:t>- Nacionalni plan razvoja željez</w:t>
      </w:r>
      <w:r>
        <w:t xml:space="preserve">ničke infrastrukture za razdoblje do 2030. godine  </w:t>
      </w:r>
    </w:p>
    <w:p w:rsidR="00895DD6" w:rsidRDefault="00F31687">
      <w:r>
        <w:t>- Program rješavanja željezničko-cestovnih i pješačkih prijelaza preko pruge za razdoblje od 2023. do 2027. godine</w:t>
      </w:r>
    </w:p>
    <w:p w:rsidR="00895DD6" w:rsidRDefault="00F31687">
      <w:pPr>
        <w:pStyle w:val="Heading8"/>
        <w:jc w:val="left"/>
      </w:pPr>
      <w:r>
        <w:t>Opis aktivnosti</w:t>
      </w:r>
    </w:p>
    <w:p w:rsidR="00895DD6" w:rsidRDefault="00F31687">
      <w:r>
        <w:t xml:space="preserve">U 2025. godini sredstva utrošena na ovoj aktivnosti odnose se na: </w:t>
      </w:r>
    </w:p>
    <w:p w:rsidR="00895DD6" w:rsidRDefault="00F31687">
      <w:r>
        <w:t>˗</w:t>
      </w:r>
      <w:r>
        <w:tab/>
        <w:t>plać</w:t>
      </w:r>
      <w:r>
        <w:t xml:space="preserve">anje članarine u iznosu od 26.199,69 EUR (24.593,65 CHF) za članstvo u međunarodnoj organizaciji OTIF-a </w:t>
      </w:r>
    </w:p>
    <w:p w:rsidR="00895DD6" w:rsidRDefault="00F31687">
      <w:r>
        <w:t>˗</w:t>
      </w:r>
      <w:r>
        <w:tab/>
        <w:t xml:space="preserve">plaćanje članarine u iznosu od 9.171,79 EUR (10.000,00 USD) za članstvo u TER (Trans European Railway) </w:t>
      </w:r>
    </w:p>
    <w:p w:rsidR="00895DD6" w:rsidRDefault="00F31687">
      <w:r>
        <w:t>˗</w:t>
      </w:r>
      <w:r>
        <w:tab/>
        <w:t>plaćanja intelektualnih usluga u smislu ugo</w:t>
      </w:r>
      <w:r>
        <w:t>vora o djelu za pružanja stručne podrške u provedbi i kontroli Ugovora br. 1/2019/DP-HŽPP o javnim uslugama za usluge od općeg gospodarskog interesa u javnom željezničkom prijevozu u Republici Hrvatskoj te administrativnim aktivnostima povezanim sa kontrol</w:t>
      </w:r>
      <w:r>
        <w:t xml:space="preserve">om zahtjeva za isplatu društvu HŽ INFRASTRUKTURA d.o.o. u ukupnom iznosu 1.396,10 EUR </w:t>
      </w:r>
    </w:p>
    <w:p w:rsidR="00895DD6" w:rsidRDefault="00F31687">
      <w:r>
        <w:t>˗</w:t>
      </w:r>
      <w:r>
        <w:tab/>
        <w:t>uslugu izrade prijedloga izmjene Ugovora br. 1/2019/DP-HŽPP o javnim uslugama za usluge od općeg gospodarskog interesa u javnom željezničkom prijevozu u Republici Hrva</w:t>
      </w:r>
      <w:r>
        <w:t xml:space="preserve">tskoj za razdoblje od 01. siječnja 2019. godine do 31. prosinca 2028. godine, izmjena članka 2. II. dodatka PSO Ugovora od 30.12.2019.g. vezano uz izračun razumne dobiti u iznosu od 7.500,00 EUR  </w:t>
      </w:r>
    </w:p>
    <w:p w:rsidR="00895DD6" w:rsidRDefault="00F31687">
      <w:r>
        <w:t>˗</w:t>
      </w:r>
      <w:r>
        <w:tab/>
        <w:t xml:space="preserve">uslugu izrade metodologije izračuna potpora za ostvareni </w:t>
      </w:r>
      <w:r>
        <w:t xml:space="preserve">prijevoz na prugama M604 Oštarije-KninSplit, M606 Knin-Zadar i M607 Peković-Šibenik u iznosu od 30.625,00 EUR  </w:t>
      </w:r>
    </w:p>
    <w:p w:rsidR="00895DD6" w:rsidRDefault="00F31687">
      <w:r>
        <w:t>˗</w:t>
      </w:r>
      <w:r>
        <w:tab/>
        <w:t>odvjetničke usluge, usluge pravnog savjetovanja vezano za operativno restrukturiranje trgovačkih društava HŽ INFRASTRUKTURA d.o.o., HŽ CARGO d</w:t>
      </w:r>
      <w:r>
        <w:t xml:space="preserve">.o.o. i HŽ PUTNIČKI PRIJEVOZ d.o.o. u kontekstu prava državnih potpora u iznosu od 6.750,00 EUR  </w:t>
      </w:r>
    </w:p>
    <w:p w:rsidR="00895DD6" w:rsidRDefault="00F31687">
      <w:r>
        <w:t>˗</w:t>
      </w:r>
      <w:r>
        <w:tab/>
        <w:t xml:space="preserve">odvjetničke usluge, usluge pravnog savjetovanja vezano uz sastavljanje nagodbe između Republike Hrvatske i trgovačkog društva HŽ Putnički prijevoz d.o.o. u </w:t>
      </w:r>
      <w:r>
        <w:t xml:space="preserve">iznosu od 6.525,00 EUR  </w:t>
      </w:r>
    </w:p>
    <w:p w:rsidR="00895DD6" w:rsidRDefault="00F31687">
      <w:r>
        <w:t>˗</w:t>
      </w:r>
      <w:r>
        <w:tab/>
        <w:t>odvjetničke usluge vezane uz sastav pravnog mišljenja vezano za prijedlog kreditnog zaduženja društva HŽ PUTNIČKI PRIJEVOZ d.o.o. kod Europskog društva za financiranje nabavki željezničkog materijala (EUROFIMA-e) za obnovu elektr</w:t>
      </w:r>
      <w:r>
        <w:t xml:space="preserve">olokomotiva i radionica za održavanje željezničkih vozila, s aspekta državnih potpora, u iznosu od 7.500,00 EUR  </w:t>
      </w:r>
    </w:p>
    <w:p w:rsidR="00895DD6" w:rsidRDefault="00F31687">
      <w:r>
        <w:t>˗</w:t>
      </w:r>
      <w:r>
        <w:tab/>
        <w:t>odvjetničke usluge vezane uz usluge pravnog savjetovanja s aspekta državnih potpora vezano za jednokratne potpore malih vrijednosti (De mini</w:t>
      </w:r>
      <w:r>
        <w:t xml:space="preserve">mis potpore) za željezničke prijevoznike koji ostvaruju prijevoz tereta na prugama razvrstanim Uredbom o razvrstavanju željezničkih pruga, u iznosu od 11.250,00 EUR  </w:t>
      </w:r>
    </w:p>
    <w:p w:rsidR="00895DD6" w:rsidRDefault="00F31687">
      <w:r>
        <w:t>˗</w:t>
      </w:r>
      <w:r>
        <w:tab/>
        <w:t>uslugu pravnog savjetovanja i zastupanja u predmetu SA.110307-(2023/NN)-HR-Potpora za s</w:t>
      </w:r>
      <w:r>
        <w:t>anaciju društva Pružne građevine pred Europskom komisijom (stručna pravna pomoć oko izrade podnesaka i očitovanja, savjetovanje na temu restrukturiranja trgovačkog društva Pružne građevine d.o.o., prepravak plana Kriznog upravljanja, pružanje pravnih uslug</w:t>
      </w:r>
      <w:r>
        <w:t>a vezane uz sastav Nagodbe između Republike Hrvatske i trgovačkog društva HŽ INFRASTRUKTURA d.o.o. s osnova podjele trgovačkog društva HŽ-Hrvatske željeznice d.o.o. u ukupnom iznosu od 19.875,00 EUR usluge prijevoda: RID prijevod i prijevodi sastanaka u uk</w:t>
      </w:r>
      <w:r>
        <w:t xml:space="preserve">upnom iznosu od 1.759,33 EUR </w:t>
      </w:r>
    </w:p>
    <w:p w:rsidR="00895DD6" w:rsidRDefault="00F31687">
      <w:r>
        <w:t>˗</w:t>
      </w:r>
      <w:r>
        <w:tab/>
        <w:t>plaćanje troškova službenih putovanja i troškova stručnog usavršavanja zaposlenika Uprave za željezničku infrastrukturu i promet te objava oglasa na natječaj u iznosu od 7.525,23 EUR</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w:t>
            </w:r>
            <w:r>
              <w: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Broj sklopljenih ugovora u svrhu unapređenja strukturnih reformi željeznica</w:t>
            </w:r>
          </w:p>
        </w:tc>
        <w:tc>
          <w:tcPr>
            <w:tcW w:w="2551" w:type="dxa"/>
          </w:tcPr>
          <w:p w:rsidR="00895DD6" w:rsidRDefault="00F31687">
            <w:pPr>
              <w:pStyle w:val="CellColumn"/>
              <w:jc w:val="left"/>
            </w:pPr>
            <w:r>
              <w:rPr>
                <w:rFonts w:cs="Times New Roman"/>
              </w:rPr>
              <w:t>Sklapanje ugovora pridonijeti će unapređenju željezničkog sektora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1</w:t>
            </w:r>
          </w:p>
        </w:tc>
      </w:tr>
    </w:tbl>
    <w:p w:rsidR="00895DD6" w:rsidRDefault="00895DD6">
      <w:pPr>
        <w:jc w:val="left"/>
      </w:pPr>
    </w:p>
    <w:p w:rsidR="00895DD6" w:rsidRDefault="00F31687">
      <w:pPr>
        <w:pStyle w:val="Heading4"/>
      </w:pPr>
      <w:r>
        <w:t>A587082 IZUZETO JAVNO DOBRO</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A587082-IZUZETO JAVNO DOBRO</w:t>
            </w:r>
          </w:p>
        </w:tc>
        <w:tc>
          <w:tcPr>
            <w:tcW w:w="2041" w:type="dxa"/>
          </w:tcPr>
          <w:p w:rsidR="00895DD6" w:rsidRDefault="00F31687">
            <w:pPr>
              <w:pStyle w:val="CellColumn"/>
              <w:jc w:val="right"/>
            </w:pPr>
            <w:r>
              <w:rPr>
                <w:rFonts w:cs="Times New Roman"/>
              </w:rPr>
              <w:t>10.617.825</w:t>
            </w:r>
          </w:p>
        </w:tc>
        <w:tc>
          <w:tcPr>
            <w:tcW w:w="2041" w:type="dxa"/>
          </w:tcPr>
          <w:p w:rsidR="00895DD6" w:rsidRDefault="00F31687">
            <w:pPr>
              <w:pStyle w:val="CellColumn"/>
              <w:jc w:val="right"/>
            </w:pPr>
            <w:r>
              <w:rPr>
                <w:rFonts w:cs="Times New Roman"/>
              </w:rPr>
              <w:t>38.785.941</w:t>
            </w:r>
          </w:p>
        </w:tc>
        <w:tc>
          <w:tcPr>
            <w:tcW w:w="2041" w:type="dxa"/>
          </w:tcPr>
          <w:p w:rsidR="00895DD6" w:rsidRDefault="00F31687">
            <w:pPr>
              <w:pStyle w:val="CellColumn"/>
              <w:jc w:val="right"/>
            </w:pPr>
            <w:r>
              <w:rPr>
                <w:rFonts w:cs="Times New Roman"/>
              </w:rPr>
              <w:t>38.785.940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365,3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podjeli trgovačkog društva HŽ-Hrvatske željeznice d.o.o. </w:t>
      </w:r>
    </w:p>
    <w:p w:rsidR="00895DD6" w:rsidRDefault="00F31687">
      <w:r>
        <w:t xml:space="preserve">- Odluka Vlade Republike Hrvatske o podjeli trgovačkog društva HŽ-Hrvatske željeznice d.o.o. od 6. srpnja 2006. godine, točka II. </w:t>
      </w:r>
    </w:p>
    <w:p w:rsidR="00895DD6" w:rsidRDefault="00F31687">
      <w:r>
        <w:t>- Plan podjele trg</w:t>
      </w:r>
      <w:r>
        <w:t>ovačkog društva HŽ-Hrvatske željeznice d.o.o., točka 1.4.</w:t>
      </w:r>
    </w:p>
    <w:p w:rsidR="00895DD6" w:rsidRDefault="00F31687">
      <w:pPr>
        <w:pStyle w:val="Heading8"/>
        <w:jc w:val="left"/>
      </w:pPr>
      <w:r>
        <w:t>Opis aktivnosti</w:t>
      </w:r>
    </w:p>
    <w:p w:rsidR="00895DD6" w:rsidRDefault="00F31687">
      <w:r>
        <w:t>Između Republike Hrvatske i društva HŽ CARGO d.o.o. sklopljena je Nagodba (u daljnjem tekstu: HŽ CARGO nagodba), koja se temelji na članku 2. stavku 2. Zakona o podjeli trgovačkog dr</w:t>
      </w:r>
      <w:r>
        <w:t>uštva HŽ-HRVATSKE ŽELJEZNICE d.o.o., točki II. Odluke Vlade Republike Hrvatske o podjeli trgovačkog društva HŽ-HRVATSKE ŽELJEZNICE d.o.o. od 6. srpnja 2006. godine te točki 1.4. Plana podjele trgovačkog društva HŽ-HRVATSKE ŽELJEZNICE d.o.o. Zagreb s namjer</w:t>
      </w:r>
      <w:r>
        <w:t>om da se društvu HŽ CARGO d.o.o. namiri manje preneseni temeljni kapital na ime ulaganja u javno dobro (kao nadoknada uloženih vlastitih sredstava iz temeljnog kapitala), a na što društvo HŽ CARGO d.o.o. ima pravo kao pravni sljednik društva HŽ HRVATSKE ŽE</w:t>
      </w:r>
      <w:r>
        <w:t xml:space="preserve">LJEZNICE d.o.o.. HŽ CARGO nagodbi prethodilo je potpisivanje tripartitnog Sporazuma o uređenju imovinsko pravnih odnosa između društava HŽ INFRASTRUKTURA d.o.o., HŽ CARGO d.o.o. i HŽ PUTNIČKI PRIJEVOZ d.o.o. 31. kolovoza 2022. godine i Aneksu sporatuma od </w:t>
      </w:r>
      <w:r>
        <w:t xml:space="preserve">2. studenoga 2022. godine (u daljnjem tekstu: Sporazum). </w:t>
      </w:r>
    </w:p>
    <w:p w:rsidR="00895DD6" w:rsidRDefault="00F31687">
      <w:r>
        <w:t>Donošenjem HŽ CARGO nagodbe, Ministarstvo mora, prometa i infrastrukture u ime Republike Hrvatske obvezalo se u razdoblju od 2022. do 2027. godine namiriti potraživanje društva HŽ CARGO d.o.o. za ma</w:t>
      </w:r>
      <w:r>
        <w:t>nje preneseni temeljni kapital na ime ulaganja u javno dobro u ukupnom iznosu od  67.863.604,58 EUR. Na temelju navedenog s ove aktivnosti financira se preuzimanje potraživanja, odnosno dospjele obveze društva HŽ CARGO d.o.o. prema društvu HŽ Infrastruktur</w:t>
      </w:r>
      <w:r>
        <w:t xml:space="preserve">a d.o.o.. Ukupan iznos preuzetih obveza Republike Hrvatske za usuglašeni dug društva HŽ CARGO d.o.o. društvu HŽ INFRASTRUKTURA d.o.o. u cijelosti iznosi 53.315.675,84 EUR, a sva plaćanja provode se sukladno Sporazumu. </w:t>
      </w:r>
    </w:p>
    <w:p w:rsidR="00895DD6" w:rsidRDefault="00F31687">
      <w:r>
        <w:t>Tijekom 2025. godine društvu HŽ INFRA</w:t>
      </w:r>
      <w:r>
        <w:t xml:space="preserve">STRUKTURA d.o.o. su doznačena proračunska sredstva u ukupnom iznosu od 10.617.825 EUR u svrhu izmirenja treće rate od ukupno pet rata, na temelju Nagodbe između Republike Hrvatske i društva HŽ CARGO d.o.o., KLASA: 341-01/22-01/34, URBROJ: 530-06-3-1-22-23 </w:t>
      </w:r>
      <w:r>
        <w:t xml:space="preserve">od 23. prosinca 2022. godine – u daljnjem tekstu: HŽ CARGO nagodba i Ugovora o cesiji između društva HŽ CARGO d.o.o., Republike Hrvatske i društva HŽ INFRASTRUKTURA d.o.o., KLASA: 341-01/22-01/34, URBROj: 530-06-3-2-22-28 od 28. prosinca 2022. godine. </w:t>
      </w:r>
    </w:p>
    <w:p w:rsidR="00895DD6" w:rsidRDefault="00F31687">
      <w:r>
        <w:t>Nad</w:t>
      </w:r>
      <w:r>
        <w:t>alje, Između Republike Hrvatske i društva HŽ INFRASTRUKTURA d.o.o. 2025. godine sklopljena je Nagodba o uređenju imovinsko-pravnih pitanja preostalih nakon podjele HŽ-Hrvatske željeznice d.o.o.,  KLASA: 341-01/24-03/13, URBROJ: 530-06-3-25-21 od 7. siječnj</w:t>
      </w:r>
      <w:r>
        <w:t>a 2025. godine, u daljnem tekstu: HŽI nagodba, na ukupan iznos od 38.414.622,31 EUR, na temelju Odluka o prihvaćanju nagodbe između Republike Hrvatske i društva HŽ Infrastruktura d.o.o. o uređenju imovinsko-pravnih pitanja preostalih nakon podjele HŽ-Hrvts</w:t>
      </w:r>
      <w:r>
        <w:t xml:space="preserve">ke željeznice d.o.o., Klasa: 022-03/24-04/467, URBROJ: 50301-27/27-24-2 od 27. prosinca 2024.g.. </w:t>
      </w:r>
    </w:p>
    <w:p w:rsidR="00895DD6" w:rsidRDefault="00F31687">
      <w:r>
        <w:t>Tijekom 2025. godine društvu HŽ INFRASTRUKTURA d.o.o. su doznačena proračunska sredstva od 25.000.000,00 EUR, u svrhu izmirenja prve rate od ukupno dvije rate</w:t>
      </w:r>
      <w:r>
        <w:t xml:space="preserve"> na temelju HŽI nagodbe, koja predstavljaju razliku za namiru </w:t>
      </w:r>
      <w:r>
        <w:lastRenderedPageBreak/>
        <w:t xml:space="preserve">na način kako je to navedeno u članku 5. stavku 5.2. HŽI nagodbe. HŽI nagodbi prethodilo je potpisivanje tripartitnog Sporazuma. </w:t>
      </w:r>
    </w:p>
    <w:p w:rsidR="00895DD6" w:rsidRDefault="00F31687">
      <w:r>
        <w:t>Naposlijetku, između Republike Hrvatske i društva HŽ PUTNIČKI PR</w:t>
      </w:r>
      <w:r>
        <w:t>IJEVOZ d.o.o. 2025. godine sklopljena je Nagodba o uređenju imovinsko-pravnih pitanja preostalih nakon podjele HŽ-Hrvatske željeznice d.o.o., KLASA: 341-02/24-01/49, URBROJ: 530-06-3-2-25-17 od 11. veljače 2025. godine, u daljnjem tekstu: HŽPP nagodba na t</w:t>
      </w:r>
      <w:r>
        <w:t>emelju Odluke o prihvaćanju nagodbe između Republike Hrvatske i društva HŽ Putnički prijevoz d.o.o. o uređenju imovinsko-pravnih pitanja preostalih nakon podjele HŽ-Hrvatske željeznice d.o.o., KLASA: 022-03/25-04/09 URBROJ: 50301-27/20-25-2 od 6. veljače 2</w:t>
      </w:r>
      <w:r>
        <w:t xml:space="preserve">025.g.. HŽPP nagodbi prethodilo je potpisivanje tripartitnog Sporazuma. </w:t>
      </w:r>
    </w:p>
    <w:p w:rsidR="00895DD6" w:rsidRDefault="00F31687">
      <w:r>
        <w:t>Tijekom 2025. godine društvu HŽ PUTNIČKI PRIJEVOZ d.o.o. doznačena su sredstva u iznosu od 3.168.115,10 EUR, na temelju HŽPP nagodbe, koja predstavljaju razliku za namiru na način kak</w:t>
      </w:r>
      <w:r>
        <w:t>o je to navedeno u članku 5. stavku 5.2. točki 5. HŽPP nagodbe.</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Isplaćena sredstva društvu HŽ INFRASTRUKTURA d.o.o. na ime Nagodbe između RH i društva HŽ CARGO d.o.o.</w:t>
            </w:r>
          </w:p>
        </w:tc>
        <w:tc>
          <w:tcPr>
            <w:tcW w:w="2551" w:type="dxa"/>
          </w:tcPr>
          <w:p w:rsidR="00895DD6" w:rsidRDefault="00F31687">
            <w:pPr>
              <w:pStyle w:val="CellColumn"/>
              <w:jc w:val="left"/>
            </w:pPr>
            <w:r>
              <w:rPr>
                <w:rFonts w:cs="Times New Roman"/>
              </w:rPr>
              <w:t>Udio isplaćenih sredstava u odnosu na ukupan iznos preuzetog potraživanja od strane RH, a vezano za dug društva HŽ CARGO d.o.o. prema društvu HŽ INFRASTR</w:t>
            </w:r>
            <w:r>
              <w:rPr>
                <w:rFonts w:cs="Times New Roman"/>
              </w:rPr>
              <w:t>UKTURA d.o.o. na temelju Nagodbe, a koje plaća MMPI</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19,92</w:t>
            </w:r>
          </w:p>
        </w:tc>
        <w:tc>
          <w:tcPr>
            <w:tcW w:w="1020" w:type="dxa"/>
          </w:tcPr>
          <w:p w:rsidR="00895DD6" w:rsidRDefault="00F31687">
            <w:pPr>
              <w:pStyle w:val="CellColumn"/>
              <w:jc w:val="right"/>
            </w:pPr>
            <w:r>
              <w:rPr>
                <w:rFonts w:cs="Times New Roman"/>
              </w:rPr>
              <w:t>19,92</w:t>
            </w:r>
          </w:p>
        </w:tc>
      </w:tr>
    </w:tbl>
    <w:p w:rsidR="00895DD6" w:rsidRDefault="00895DD6">
      <w:pPr>
        <w:jc w:val="left"/>
      </w:pPr>
    </w:p>
    <w:p w:rsidR="00895DD6" w:rsidRDefault="00F31687">
      <w:pPr>
        <w:pStyle w:val="Heading4"/>
      </w:pPr>
      <w:r>
        <w:t>A754066 SUFINANCIRANJE IZDAVANJA LICENCIJA INŽENJERIMA TEHNOLOGIJE PROMETA I TRANSPORTA</w:t>
      </w:r>
    </w:p>
    <w:tbl>
      <w:tblPr>
        <w:tblStyle w:val="StilTablice"/>
        <w:tblW w:w="10206" w:type="dxa"/>
        <w:jc w:val="center"/>
        <w:tblLook w:val="04A0" w:firstRow="1" w:lastRow="0" w:firstColumn="1" w:lastColumn="0" w:noHBand="0" w:noVBand="1"/>
      </w:tblPr>
      <w:tblGrid>
        <w:gridCol w:w="1804"/>
        <w:gridCol w:w="1993"/>
        <w:gridCol w:w="1985"/>
        <w:gridCol w:w="1993"/>
        <w:gridCol w:w="1213"/>
        <w:gridCol w:w="1218"/>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A754066-SUFINANCIRANJE IZDAVANJA LICENCIJA INŽENJERIMA TEHNOLOGIJE PROMETA I TRANSPORTA</w:t>
            </w:r>
          </w:p>
        </w:tc>
        <w:tc>
          <w:tcPr>
            <w:tcW w:w="2041" w:type="dxa"/>
          </w:tcPr>
          <w:p w:rsidR="00895DD6" w:rsidRDefault="00F31687">
            <w:pPr>
              <w:pStyle w:val="CellColumn"/>
              <w:jc w:val="right"/>
            </w:pPr>
            <w:r>
              <w:rPr>
                <w:rFonts w:cs="Times New Roman"/>
              </w:rPr>
              <w:t>28.000</w:t>
            </w:r>
          </w:p>
        </w:tc>
        <w:tc>
          <w:tcPr>
            <w:tcW w:w="2041" w:type="dxa"/>
          </w:tcPr>
          <w:p w:rsidR="00895DD6" w:rsidRDefault="00F31687">
            <w:pPr>
              <w:pStyle w:val="CellColumn"/>
              <w:jc w:val="right"/>
            </w:pPr>
            <w:r>
              <w:rPr>
                <w:rFonts w:cs="Times New Roman"/>
              </w:rPr>
              <w:t>28.000</w:t>
            </w:r>
          </w:p>
        </w:tc>
        <w:tc>
          <w:tcPr>
            <w:tcW w:w="2041" w:type="dxa"/>
          </w:tcPr>
          <w:p w:rsidR="00895DD6" w:rsidRDefault="00F31687">
            <w:pPr>
              <w:pStyle w:val="CellColumn"/>
              <w:jc w:val="right"/>
            </w:pPr>
            <w:r>
              <w:rPr>
                <w:rFonts w:cs="Times New Roman"/>
              </w:rPr>
              <w:t>28.000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100,0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Hrvatskoj komori inženjera tehnologije prometa i transporta, članak 29., stavak 1. i 2.   </w:t>
      </w:r>
    </w:p>
    <w:p w:rsidR="00895DD6" w:rsidRDefault="00F31687">
      <w:r>
        <w:t>- Zakon o proračunu</w:t>
      </w:r>
    </w:p>
    <w:p w:rsidR="00895DD6" w:rsidRDefault="00F31687">
      <w:pPr>
        <w:pStyle w:val="Heading8"/>
        <w:jc w:val="left"/>
      </w:pPr>
      <w:r>
        <w:t>Opis aktivnosti</w:t>
      </w:r>
    </w:p>
    <w:p w:rsidR="00895DD6" w:rsidRDefault="00F31687">
      <w:r>
        <w:t>Provedba ove aktivnosti započela je u 2019. godini. Hrvatskoj komori inženjera tehnologije prometa i transporta dodjelj</w:t>
      </w:r>
      <w:r>
        <w:t>uju se sredstva iz državnog proračuna Republike Hrvatske za izvršavanje poslova koje Komora obavlja kao pravna osoba s javnim ovlastima. U izradi je izmjena Zakona o Hrvatskoj komori inženjera tehnologije prometa i transporta i Pravilnika o stručnim ispiti</w:t>
      </w:r>
      <w:r>
        <w:t xml:space="preserve">ma inženjera tehnologije prometa i transporta. </w:t>
      </w:r>
    </w:p>
    <w:p w:rsidR="00895DD6" w:rsidRDefault="00F31687">
      <w:r>
        <w:t>U budućem razdoblju se planira sufinanciranje dijela troškova poslova Komore iz državnog proračuna.</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izdanih ovlaštenja</w:t>
            </w:r>
          </w:p>
        </w:tc>
        <w:tc>
          <w:tcPr>
            <w:tcW w:w="2551" w:type="dxa"/>
          </w:tcPr>
          <w:p w:rsidR="00895DD6" w:rsidRDefault="00F31687">
            <w:pPr>
              <w:pStyle w:val="CellColumn"/>
              <w:jc w:val="left"/>
            </w:pPr>
            <w:r>
              <w:rPr>
                <w:rFonts w:cs="Times New Roman"/>
              </w:rPr>
              <w:t>Na temelju Zakona o Hrvatskoj komori inženjera tehnologije prometa i transporta isplaćuju se novčana sredstva za izdana ovlaštenja</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25</w:t>
            </w:r>
          </w:p>
        </w:tc>
        <w:tc>
          <w:tcPr>
            <w:tcW w:w="1020" w:type="dxa"/>
          </w:tcPr>
          <w:p w:rsidR="00895DD6" w:rsidRDefault="00F31687">
            <w:pPr>
              <w:pStyle w:val="CellColumn"/>
              <w:jc w:val="right"/>
            </w:pPr>
            <w:r>
              <w:rPr>
                <w:rFonts w:cs="Times New Roman"/>
              </w:rPr>
              <w:t>Hrvatska komora inženjera i tehnolog</w:t>
            </w:r>
            <w:r>
              <w:rPr>
                <w:rFonts w:cs="Times New Roman"/>
              </w:rPr>
              <w:t>ije prometa i transporta</w:t>
            </w:r>
          </w:p>
        </w:tc>
        <w:tc>
          <w:tcPr>
            <w:tcW w:w="1020" w:type="dxa"/>
          </w:tcPr>
          <w:p w:rsidR="00895DD6" w:rsidRDefault="00F31687">
            <w:pPr>
              <w:pStyle w:val="CellColumn"/>
              <w:jc w:val="right"/>
            </w:pPr>
            <w:r>
              <w:rPr>
                <w:rFonts w:cs="Times New Roman"/>
              </w:rPr>
              <w:t>25</w:t>
            </w:r>
          </w:p>
        </w:tc>
        <w:tc>
          <w:tcPr>
            <w:tcW w:w="1020" w:type="dxa"/>
          </w:tcPr>
          <w:p w:rsidR="00895DD6" w:rsidRDefault="00F31687">
            <w:pPr>
              <w:pStyle w:val="CellColumn"/>
              <w:jc w:val="right"/>
            </w:pPr>
            <w:r>
              <w:rPr>
                <w:rFonts w:cs="Times New Roman"/>
              </w:rPr>
              <w:t>26</w:t>
            </w:r>
          </w:p>
        </w:tc>
      </w:tr>
    </w:tbl>
    <w:p w:rsidR="00895DD6" w:rsidRDefault="00895DD6">
      <w:pPr>
        <w:jc w:val="left"/>
      </w:pPr>
    </w:p>
    <w:p w:rsidR="00895DD6" w:rsidRDefault="00F31687">
      <w:pPr>
        <w:pStyle w:val="Heading4"/>
      </w:pPr>
      <w:r>
        <w:t>A761011 POTICANJE ŽELJEZNIČKOG PUTNIČKOG PRIJEVOZA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A761011-POTICANJE ŽELJEZNIČKOG PUTNIČKOG PRIJEVOZA</w:t>
            </w:r>
          </w:p>
        </w:tc>
        <w:tc>
          <w:tcPr>
            <w:tcW w:w="2041" w:type="dxa"/>
          </w:tcPr>
          <w:p w:rsidR="00895DD6" w:rsidRDefault="00F31687">
            <w:pPr>
              <w:pStyle w:val="CellColumn"/>
              <w:jc w:val="right"/>
            </w:pPr>
            <w:r>
              <w:rPr>
                <w:rFonts w:cs="Times New Roman"/>
              </w:rPr>
              <w:t>115.224.570</w:t>
            </w:r>
          </w:p>
        </w:tc>
        <w:tc>
          <w:tcPr>
            <w:tcW w:w="2041" w:type="dxa"/>
          </w:tcPr>
          <w:p w:rsidR="00895DD6" w:rsidRDefault="00F31687">
            <w:pPr>
              <w:pStyle w:val="CellColumn"/>
              <w:jc w:val="right"/>
            </w:pPr>
            <w:r>
              <w:rPr>
                <w:rFonts w:cs="Times New Roman"/>
              </w:rPr>
              <w:t>159.100.000</w:t>
            </w:r>
          </w:p>
        </w:tc>
        <w:tc>
          <w:tcPr>
            <w:tcW w:w="2041" w:type="dxa"/>
          </w:tcPr>
          <w:p w:rsidR="00895DD6" w:rsidRDefault="00F31687">
            <w:pPr>
              <w:pStyle w:val="CellColumn"/>
              <w:jc w:val="right"/>
            </w:pPr>
            <w:r>
              <w:rPr>
                <w:rFonts w:cs="Times New Roman"/>
              </w:rPr>
              <w:t>159.100.000</w:t>
            </w:r>
          </w:p>
        </w:tc>
        <w:tc>
          <w:tcPr>
            <w:tcW w:w="1224" w:type="dxa"/>
          </w:tcPr>
          <w:p w:rsidR="00895DD6" w:rsidRDefault="00F31687">
            <w:pPr>
              <w:pStyle w:val="CellColumn"/>
              <w:jc w:val="right"/>
            </w:pPr>
            <w:r>
              <w:rPr>
                <w:rFonts w:cs="Times New Roman"/>
              </w:rPr>
              <w:t>100,0</w:t>
            </w:r>
          </w:p>
        </w:tc>
        <w:tc>
          <w:tcPr>
            <w:tcW w:w="1224" w:type="dxa"/>
          </w:tcPr>
          <w:p w:rsidR="00895DD6" w:rsidRDefault="00F31687">
            <w:pPr>
              <w:pStyle w:val="CellColumn"/>
              <w:jc w:val="right"/>
            </w:pPr>
            <w:r>
              <w:rPr>
                <w:rFonts w:cs="Times New Roman"/>
              </w:rPr>
              <w:t>138,1</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w:t>
      </w:r>
    </w:p>
    <w:p w:rsidR="00895DD6" w:rsidRDefault="00F31687">
      <w:r>
        <w:t xml:space="preserve">- Zakon o sigurnosti i interoperabilnosti željezničkog sustava   </w:t>
      </w:r>
    </w:p>
    <w:p w:rsidR="00895DD6" w:rsidRDefault="00F31687">
      <w:r>
        <w:t xml:space="preserve">- Zakon o regulaciji tržišta željezničkih usluga i zaštiti prava putnika u željezničkom prijevozu   </w:t>
      </w:r>
    </w:p>
    <w:p w:rsidR="00895DD6" w:rsidRDefault="00F31687">
      <w:r>
        <w:t xml:space="preserve">- Zakon o državnim potporama   </w:t>
      </w:r>
    </w:p>
    <w:p w:rsidR="00895DD6" w:rsidRDefault="00F31687">
      <w:r>
        <w:t xml:space="preserve">- Zakon o proračunu   </w:t>
      </w:r>
    </w:p>
    <w:p w:rsidR="00895DD6" w:rsidRDefault="00F31687">
      <w:r>
        <w:t xml:space="preserve">- Uredba (EZ) br. 1370/2007 o uslugama javnog željezničkog i cestovnog prijevoza     </w:t>
      </w:r>
    </w:p>
    <w:p w:rsidR="00895DD6" w:rsidRDefault="00F31687">
      <w:r>
        <w:t xml:space="preserve">- Uredba (EU) 2016/2338 Europskog parlamenta i Vijeća od 14. prosinca 2016. godine o izmjeni Uredbe (EZ) br. 1370/2007 u pogledu otvaranja tržišta za usluge domaćeg željezničkog prijevoza putnika (Tekst značajan za EGP ) (SL L 354, 23.12.2016.)    </w:t>
      </w:r>
    </w:p>
    <w:p w:rsidR="00895DD6" w:rsidRDefault="00F31687">
      <w:r>
        <w:t>- Odluk</w:t>
      </w:r>
      <w:r>
        <w:t>a Vlade Republike Hrvatske (sjednica održana 13. prosinca 2018. g.) o davanju suglasnosti Ministarstvu mora, prometa i infrastrukture za preuzimanje obveza na teret sredstava državnog proračuna Republike Hrvatske za razdoblje od 2019. do 2028. godine, za s</w:t>
      </w:r>
      <w:r>
        <w:t xml:space="preserve">klapanje ugovora s društvom HŽ PUTNIČKI PRIJEVOZ d.o.o. za prijevoz putnika, o javnim uslugama za usluge od općeg gospodarskog interesa u javnom željezničkom prijevozu u Republici Hrvatskoj za razdoblje od 01. siječnja 2019. do 31. prosinca 2028. godine   </w:t>
      </w:r>
    </w:p>
    <w:p w:rsidR="00895DD6" w:rsidRDefault="00F31687">
      <w:r>
        <w:t xml:space="preserve">- Ugovor br. 1/2019/DP-HŽPP o javnim uslugama za usluge od općeg gospodarskog interesa u javnom željezničkom prijevozu u Republici Hrvatskoj za razdoblje od 01. siječnja 2019. do 31. prosinca 2028. godine </w:t>
      </w:r>
    </w:p>
    <w:p w:rsidR="00895DD6" w:rsidRDefault="00F31687">
      <w:r>
        <w:t>- Ugovor o financiranju između Republike Hrvatske</w:t>
      </w:r>
      <w:r>
        <w:t xml:space="preserve"> i Europske investicijske banke za Projekt „Revitalizacija željezničkog sustava Republike Hrvatske“ iz okvirnog zajma Broj Ugovora (FI br.) 95.797, Operativni broj (Serapis br.) 2022-0660 od 22. siječnja 2024. godine</w:t>
      </w:r>
    </w:p>
    <w:p w:rsidR="00895DD6" w:rsidRDefault="00F31687">
      <w:pPr>
        <w:pStyle w:val="Heading8"/>
        <w:jc w:val="left"/>
      </w:pPr>
      <w:r>
        <w:t>Opis aktivnosti</w:t>
      </w:r>
    </w:p>
    <w:p w:rsidR="00895DD6" w:rsidRDefault="00F31687">
      <w:r>
        <w:t>Ministarstvo je potpisa</w:t>
      </w:r>
      <w:r>
        <w:t>lo Ugovor br.1/2019/DP-HŽPP o javnim uslugama za usluge od općeg gospodarskog interesa u javnom željezničkom prijevozu u Republici Hrvatskoj za razdoblje od 01. siječnja 2019. do 31. prosinca 2028. godine te I. i II. Dodatak Ugovoru (u daljnjem tekstu: PSO</w:t>
      </w:r>
      <w:r>
        <w:t xml:space="preserve"> Ugovor) kojim su odobrena financijska sredstva u svrhu plaćanja nastalih obveza tijekom 2025. godine u ukupnom iznosu od 159.100.000,00 EUR, a ista su utrošena u cijelosti kako slijedi:  </w:t>
      </w:r>
    </w:p>
    <w:p w:rsidR="00895DD6" w:rsidRDefault="00F31687">
      <w:r>
        <w:lastRenderedPageBreak/>
        <w:t>1. za usluge preventivnog i korektivnog održavanja željezničkih voz</w:t>
      </w:r>
      <w:r>
        <w:t xml:space="preserve">ila u iznosu od 25.151.313,39 EUR temeljem preuzetih obveza od strane društva HŽ PUTNIČKI PRIJEVOZ d.o.o. nastalih realizacijom ugovora kako slijedi:  </w:t>
      </w:r>
    </w:p>
    <w:p w:rsidR="00895DD6" w:rsidRDefault="00F31687">
      <w:r>
        <w:t xml:space="preserve">1.1. za usluge održavanja putničkih vagona, sredstva u iznosu od 5.317.110,65 EUR utrošena su temeljem nastalih ugovornih obveza prema izvršiteljima usluga i to: </w:t>
      </w:r>
    </w:p>
    <w:p w:rsidR="00895DD6" w:rsidRDefault="00F31687">
      <w:r>
        <w:t>˗</w:t>
      </w:r>
      <w:r>
        <w:tab/>
        <w:t>prema društvu Održavanje vagona d.o.o., iznos od 2.187.385,00 EUR utrošen je sukladno odred</w:t>
      </w:r>
      <w:r>
        <w:t xml:space="preserve">bama Ugovora br. 33/24-PP, Narudžbenice 4500074094, 4500074259 i Odluke o odabiru br. UP-32-6-1/25  </w:t>
      </w:r>
    </w:p>
    <w:p w:rsidR="00895DD6" w:rsidRDefault="00F31687">
      <w:r>
        <w:t>˗</w:t>
      </w:r>
      <w:r>
        <w:tab/>
        <w:t>prema društvu TŽV Gredelj d.o.o., iznos od 3.129.725,65 EUR utrošen je sukladno odredbama Ugovora br. 33/24, Ugovora br. 14/25-PP, Ugovora 48/22-PP, Naru</w:t>
      </w:r>
      <w:r>
        <w:t xml:space="preserve">džbenice broj 4500074095, 4500074258, Odluke o odabiru br. UP-32-6-1/25, te Ugovora br. 34/25-PP. </w:t>
      </w:r>
    </w:p>
    <w:p w:rsidR="00895DD6" w:rsidRDefault="00F31687">
      <w:r>
        <w:t>1.2. za usluge održavanja vučnih vozila, sredstva u iznosu od 16.152.385,19 EUR utrošena su temeljem nastalih ugovornih obveza prema povezanom društvu Tehnič</w:t>
      </w:r>
      <w:r>
        <w:t xml:space="preserve">ki servisi željezničkih vozila d.o.o. sukladno odredbama Ugovora br. 30/24-PP, Ugovora br. 24/24-PP, Narudžbenice br.4500074045, 4500074271, Odluke br. UP-48-10/25. </w:t>
      </w:r>
    </w:p>
    <w:p w:rsidR="00895DD6" w:rsidRDefault="00F31687">
      <w:r>
        <w:t>1.3. za usluge čišćenja željezničkih vozila, sredstava u iznosu od 3.681.817,55 EUR utroše</w:t>
      </w:r>
      <w:r>
        <w:t xml:space="preserve">na su temeljem nastalih ugovornih obveza prema povezanom društvu Tehnički servisi željezničkih vozila d.o.o. realizacijom Ugovora br. 35/24-PP, Ugovora 16/24-PP, Ugovora 15/25-PP i Odluke br. UP-13-2-1/25. </w:t>
      </w:r>
    </w:p>
    <w:p w:rsidR="00895DD6" w:rsidRDefault="00F31687">
      <w:r>
        <w:t>Troškovi održavanja putničkih vagona i vučnih voz</w:t>
      </w:r>
      <w:r>
        <w:t>ila sastoje se od troškova usluge održavanja vučnih vozila po prijeđenom kilometru, usluge obavljanja kontrolnog pregleda KP6, usluge održavanja putničkih vagona i usluge čišćenja željezničkih vozila. Društvo HŽ PUTNIČKI PRIJEVOZ d.o.o. kao vlasnik prijevo</w:t>
      </w:r>
      <w:r>
        <w:t>znih kapaciteta (vučnih vozila i putničkih vagona) dužan je iste održavati poštujući odredbe Zakona o sigurnosti i interoperabilnosti željezničkog sustava, kao i odredbi Uputa za održavanje vučnih vozila u vlasništvu HŽ PUTNIČKOG PRIJEVOZA d.o.o. (SV 28/23</w:t>
      </w:r>
      <w:r>
        <w:t>; 11/24; 10/25) i Upute o održavanju putničkih vagona u vlasništvu HŽ PUTNIČKOG PRIJEVOZA d.o.o. (25/23; 8/24). Istim Uputama propisani su ciklusi preventivnog održavanja kroz obavljanje obveznih servisnih i kontrolnih pregleda kao i način otklanjanja neis</w:t>
      </w:r>
      <w:r>
        <w:t>pravnosti kroz izvanredne popravke, odnosno korektivno održavanje. Društvo HŽ PUTNIČKI PRIJEVOZ d.o.o. je u svojstvu naručitelja usluga, sukladno odredbama Zakona o javnoj nabavi, provodio pregovarački postupak s prethodnom objavom poziva za nadmetanje i p</w:t>
      </w:r>
      <w:r>
        <w:t xml:space="preserve">ostupak nabave usluga za dodjelu ugovora povezanom društvu.  </w:t>
      </w:r>
    </w:p>
    <w:p w:rsidR="00895DD6" w:rsidRDefault="00F31687">
      <w:r>
        <w:t>2. za troškove pristupa željezničkoj infrastrukturi i dodatnih usluga koje pruža upravitelj željezničke infrastrukture u Republici Hrvatskoj-društvo HŽ INFRASTRUKTURA d.o.o., koji su nastali suk</w:t>
      </w:r>
      <w:r>
        <w:t>ladno odredbama važećeg Zakona o željeznici, Izvješću o mreži 2025. godine i Izvješću o mreži 2026. godine, uz vozni red za 2024./2025. i vozni red 2025./2026. godinu i obostrano zaključenim ugovorima, a sredstva u iznosu od 14.403.681,36 EUR utrošena su t</w:t>
      </w:r>
      <w:r>
        <w:t xml:space="preserve">emeljem nastalih ugovornih obveza kako slijedi: </w:t>
      </w:r>
    </w:p>
    <w:p w:rsidR="00895DD6" w:rsidRDefault="00F31687">
      <w:r>
        <w:t xml:space="preserve">2.1. za usluge pristupa željezničkoj infrastrukturi (trasa) iznos od 8.027.472,50 EUR utrošen je realizacijom Ugovora 572 i Ugovora 656 </w:t>
      </w:r>
    </w:p>
    <w:p w:rsidR="00895DD6" w:rsidRDefault="00F31687">
      <w:r>
        <w:t>2.2. za usluge formiranja i rasformiranja sastava vlakova iznos od 481</w:t>
      </w:r>
      <w:r>
        <w:t xml:space="preserve">.924,43 EUR utrošen je realizacijom Ugovora 574 i Ugovora 658  </w:t>
      </w:r>
    </w:p>
    <w:p w:rsidR="00895DD6" w:rsidRDefault="00F31687">
      <w:r>
        <w:t xml:space="preserve">2.3. za usluge korištenja željezničkih putničkih kolodvora i stajališta, iznos od 928.358,30 EUR utrošen je realizacijom Ugovora 574 i Ugovora 658 </w:t>
      </w:r>
    </w:p>
    <w:p w:rsidR="00895DD6" w:rsidRDefault="00F31687">
      <w:r>
        <w:t xml:space="preserve">2.4. za usluge isporuke električne energije </w:t>
      </w:r>
      <w:r>
        <w:t xml:space="preserve">za vuču vlakova s elektrovučnim vozilima iznos od 4.718.328,17 EUR utrošen je realizacijom Ugovora 657 </w:t>
      </w:r>
    </w:p>
    <w:p w:rsidR="00895DD6" w:rsidRDefault="00F31687">
      <w:r>
        <w:t xml:space="preserve">2.5. za usluge HAKOM-a utrošen je iznos od 247.597,96 EUR </w:t>
      </w:r>
    </w:p>
    <w:p w:rsidR="00895DD6" w:rsidRDefault="00F31687">
      <w:r>
        <w:t>3. za usluge nabave pogonske energije-eurodizela BS, za vuču vlakova za dizel vučna vozila, s</w:t>
      </w:r>
      <w:r>
        <w:t xml:space="preserve">redstva u iznosu od 8.287.460,26 EUR, utrošena su prema društvu Petrol d.o.o. realizacijom Ugovora br. 3/24-PP </w:t>
      </w:r>
    </w:p>
    <w:p w:rsidR="00895DD6" w:rsidRDefault="00F31687">
      <w:r>
        <w:t>4. za trošak radne snage društva HŽ PUTNIČKI PRIJEVOZ d.o.o., za plaće zaposlenika i dodatke na plaću utrošena su sredstva u iznosu od 58.546.60</w:t>
      </w:r>
      <w:r>
        <w:t xml:space="preserve">2,19 EUR </w:t>
      </w:r>
    </w:p>
    <w:p w:rsidR="00895DD6" w:rsidRDefault="00F31687">
      <w:r>
        <w:t xml:space="preserve">5. za amortizaciju prijevoznih kapaciteta, utrošena su sredstva u iznosu od 10.402.906,85 EUR </w:t>
      </w:r>
    </w:p>
    <w:p w:rsidR="00895DD6" w:rsidRDefault="00F31687">
      <w:r>
        <w:t>6. za ostale usluge utrošena su sredstva u iznosu od 1.526.856,03 EUR, temeljem ugovornih obveza i to za usluge održavanja informatičkog sustava nastal</w:t>
      </w:r>
      <w:r>
        <w:t xml:space="preserve">ih realizacijom ugovornih obveza prema izvršiteljima usluge KING ICT d.o.o. (Odluka o odabiru UP-64-1-1/23, Ugovor br. 58/24-PP, Ugovor br. 59/24-PP, Ugovor br. 48/23-PP, Ugovor 30/23-PP, Ugovor 11/25-PP, Ugovor 8/25-PP i Ugovor 19/25-PP);  CompING d.o.o. </w:t>
      </w:r>
      <w:r>
        <w:t xml:space="preserve">(Ugovor broj 47/23-PP, Ugovor 49/24-PP i Ugovor 27/24-PP); HT d.d. (Ugovor br. 10/23-PP i Ugovor br. 6/25-PP) </w:t>
      </w:r>
    </w:p>
    <w:p w:rsidR="00895DD6" w:rsidRDefault="00F31687">
      <w:r>
        <w:lastRenderedPageBreak/>
        <w:t>7. za uslugu redovitog popravka (KP6) za lok. 1141 305, iznos od 354.780,00 EUR utrošen je prema KONČAR-ELEKTRIČNA VOZILA d.d. sukladno odredbama</w:t>
      </w:r>
      <w:r>
        <w:t xml:space="preserve"> Ugovora br. 36/24-PP. </w:t>
      </w:r>
    </w:p>
    <w:p w:rsidR="00895DD6" w:rsidRDefault="00F31687">
      <w:r>
        <w:t xml:space="preserve">8. za usluge prijevoza autobusom utrošena su sredstva od 326.399,92 EUR realizacijom ugovora prema izvršiteljima Čazmatrans promet d.o.o. (Ugovor br. 37/24-PP, Ugovor br. 20/25-PP, Ugovor br. 45/24-PP i Narudžbenice br. 4500073805, </w:t>
      </w:r>
      <w:r>
        <w:t xml:space="preserve">450073857, 4500074168) i Transport Spudić d.o.o. (Ugovor 46/23-PP). </w:t>
      </w:r>
    </w:p>
    <w:p w:rsidR="00895DD6" w:rsidRDefault="00F31687">
      <w:r>
        <w:t xml:space="preserve">9. za uplatu avansa po ug. 24/25-PP- KONČAR-ELEKTRIČNA VOZILA d.d.-5 EDMV DP u iznosu 16.735.125,00 EUR </w:t>
      </w:r>
    </w:p>
    <w:p w:rsidR="00895DD6" w:rsidRDefault="00F31687">
      <w:r>
        <w:t>10. za uplatu avansa po ug. 25/25-PP- KONČAR-ELEKTRIČNA VOZILA d.d.-4 BEMV i 4 BMV</w:t>
      </w:r>
      <w:r>
        <w:t xml:space="preserve"> te isporuka i puštanje u pogon 2 stabilna energetska priključka za punjenje pogonskih baterija na željezničkoj mreži RH u iznosu 18.624.672,00 EUR </w:t>
      </w:r>
    </w:p>
    <w:p w:rsidR="00895DD6" w:rsidRDefault="00F31687">
      <w:r>
        <w:t>11. za Modernizaciju informatičkog i prodajnog sustava (ugovori Diverto d.o.o. i KING ICT d.d.) u iznosu 89</w:t>
      </w:r>
      <w:r>
        <w:t xml:space="preserve">1.273,56 EUR </w:t>
      </w:r>
    </w:p>
    <w:p w:rsidR="00895DD6" w:rsidRDefault="00F31687">
      <w:r>
        <w:t xml:space="preserve">12. za primjenu zelenih tehnologija u željezničkom prijevozu po ug. 44/22-PP KONČAR-ELEKTRIČNA VOZILA d.d. u iznosu 3.848.929,44 EUR </w:t>
      </w:r>
    </w:p>
    <w:p w:rsidR="00895DD6" w:rsidRDefault="00F31687">
      <w:r>
        <w:t>U 2025. godini nastavljen je pozitivan trend  rasta broja prevezenih putnika. Prevezeno je 1,8 milijuna putn</w:t>
      </w:r>
      <w:r>
        <w:t xml:space="preserve">ika više, što predstavlja povećanje od 7,3 % u odnosu na 2024. godinu. </w:t>
      </w:r>
    </w:p>
    <w:p w:rsidR="00895DD6" w:rsidRDefault="00F31687">
      <w:r>
        <w:t>Nastavljena je provedba projekata besplatnoga željezničkog prijevoza  učenika, redovnih studenata te umirovljenika i starijih od 65 godina. Projekti se provode sa svrhom poticanja i st</w:t>
      </w:r>
      <w:r>
        <w:t xml:space="preserve">varanja navike korištenja javnoga željezničkog prijevoza, a djelomično predstavljaju i kompenzaciju tijekom intenzivnih radova na željezničkoj infrastrukturi.  </w:t>
      </w:r>
    </w:p>
    <w:p w:rsidR="00895DD6" w:rsidRDefault="00F31687">
      <w:r>
        <w:t>Nastavljena je i mjera besplatnog prijevoza stanovnika pogođenih potresom na području Sisačko-m</w:t>
      </w:r>
      <w:r>
        <w:t xml:space="preserve">oslavačke županije i ukrajinskih državljana na svim relacijama unutar Republike Hrvatske. </w:t>
      </w:r>
    </w:p>
    <w:p w:rsidR="00895DD6" w:rsidRDefault="00F31687">
      <w:r>
        <w:t xml:space="preserve">Pokazatelj izvršenja PSO ugovora veći je za 69,2 % u odnosu na polaznu vrijednost, odnosno 2022. godinu. </w:t>
      </w:r>
    </w:p>
    <w:p w:rsidR="00895DD6" w:rsidRDefault="00F31687">
      <w:r>
        <w:t xml:space="preserve">Na povećanje stavke PSO ugovora utjecao je izostali prihod </w:t>
      </w:r>
      <w:r>
        <w:t>na temelju provedbe projekata besplatnog željezničkog prijevoza  učenika osnovnih i srednjih škola, redovnih studenata, umirovljenika i osoba starijih od 65 godina te osiguranja besplatnog prijevoza stanovnika pogođenih potresom na području Sisačko-moslava</w:t>
      </w:r>
      <w:r>
        <w:t xml:space="preserve">čke županije. Nadalje, sukladno dokumentu Modernizacija i restrukturiranje željezničkog sektora koji je 1. srpnja 2021. godine usvojila Vlada Republike Hrvatske radi osiguranja bolje prometne povezanosti u voznom redu 2024./2025. uveden je 21 novi vlak na </w:t>
      </w:r>
      <w:r>
        <w:t xml:space="preserve">relacijama Zagreb GK – Velika Gorica – Zagreb GK, Zagreb – Rijeka – Zagreb,  Zabok – Krapina – Đurmanec – Hromec i obrnuto, Zagreb GK – Bjelovar – Zagreb GK te   Beli Manastir – Magyarboli – Beli Manastir. Uz to, povećan je trošak rada temeljem usklađenja </w:t>
      </w:r>
      <w:r>
        <w:t>plaća radnika Grupe HŽPP sa plaćama u istim djelatnostima (prijevoz i održavanje) te su povećani troškovi tekućeg održavanja voznog parka uslijed povećanja cijena te povećanja broja vozila koja zbog starosti ulaze u ciklus popravaka najviše razine. Također</w:t>
      </w:r>
      <w:r>
        <w:t xml:space="preserve">, uslijed izvođenja radova na pružnoj mreži uvode se zatvori pruga, smanjuju se brzine prometovanja vlakova te se uvode usporene vožnje što povećava troškove eksploatacije i preko 30% zbog povećanih potreba za vozilima i radom.  </w:t>
      </w:r>
    </w:p>
    <w:p w:rsidR="00895DD6" w:rsidRDefault="00F31687">
      <w:r>
        <w:t>Zaključno, na PSO ugovor t</w:t>
      </w:r>
      <w:r>
        <w:t>ijekom 2025. godine utrošeno je 119.000.000,00 EUR i to na sljedeće: usluge preventivnog i korektivnog održavanja željezničkih vozila, troškove pristupa željezničkoj infrastrukturi i dodatnih usluga koje pruža upravitelj željezničke infrastrukture u Republ</w:t>
      </w:r>
      <w:r>
        <w:t>ici Hrvatskoj-društvo HŽ INFRASTRUKTURA d.o.o., usluge nabave pogonske energije-eurodizela BS, za vuču vlakova za dizel vučna vozila, trošak radne snage društva HŽ PUTNIČKI PRIJEVOZ d.o.o., amortizaciju prijevoznih kapaciteta, uslugu redovitog popravka (KP</w:t>
      </w:r>
      <w:r>
        <w:t xml:space="preserve">6), usluge prijevoza autobusom i ostale usluge. </w:t>
      </w:r>
    </w:p>
    <w:p w:rsidR="00895DD6" w:rsidRDefault="00F31687">
      <w:r>
        <w:t xml:space="preserve"> </w:t>
      </w:r>
    </w:p>
    <w:p w:rsidR="00895DD6" w:rsidRDefault="00F31687">
      <w:r>
        <w:t>Na temelju Ugovora o financiranju između Republike Hrvatske i Europske investicijske banke za Projekt „Revitalizacija željezničkog sustava Republike Hrvatske“ iz okvirnog zajma Broj Ugovora (FI br.) 95.797, Operativni broj (Serapis br.) 2022-0660 od 22. si</w:t>
      </w:r>
      <w:r>
        <w:t>ječnja 2024. godine (u daljnjem tekstu EIB zajam) isplaćena su sredstva u ukupnom iznosu od 38.800.000,00 EUR za provođenje projekata "Primjena zelenih tehnologija u željezničkom putničkom prijevozu" te projekt nabave 5 (pet ) elektrodizelskih motornih vla</w:t>
      </w:r>
      <w:r>
        <w:t>kova za daljinski promet (EDMV DP), 4 (četiri) baterijska elektromotorna vlaka (BEMV) i 4 (četiri) baterijska motorna vlaka (BMV) kao i isporuku te puštanje u pogon 2 (dva) stabilna energetska priključka za punjenje pogonskih baterija na željezničkoj mreži</w:t>
      </w:r>
      <w:r>
        <w:t xml:space="preserve"> RH. </w:t>
      </w:r>
    </w:p>
    <w:p w:rsidR="00895DD6" w:rsidRDefault="00F31687">
      <w:r>
        <w:t>Nadalje, vezano uz EIB zajam, za projekte "Primjena zelenih tehnologija u željezničkom putničkom prijevozu" i  "Modernizacija prodajnog i informatičkog sustava" iz nacionalne komponente utrošena su sredstva u iznosu od 1.300.000,00 EUR.</w:t>
      </w:r>
    </w:p>
    <w:p w:rsidR="00895DD6" w:rsidRDefault="00F31687">
      <w:pPr>
        <w:pStyle w:val="Heading8"/>
        <w:jc w:val="left"/>
      </w:pPr>
      <w:r>
        <w:lastRenderedPageBreak/>
        <w:t>Pokazatelji r</w:t>
      </w:r>
      <w:r>
        <w:t>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Postotak izvršenja PSO Ugovora</w:t>
            </w:r>
          </w:p>
        </w:tc>
        <w:tc>
          <w:tcPr>
            <w:tcW w:w="2551" w:type="dxa"/>
          </w:tcPr>
          <w:p w:rsidR="00895DD6" w:rsidRDefault="00F31687">
            <w:pPr>
              <w:pStyle w:val="CellColumn"/>
              <w:jc w:val="left"/>
            </w:pPr>
            <w:r>
              <w:rPr>
                <w:rFonts w:cs="Times New Roman"/>
              </w:rPr>
              <w:t>Poticanjem željezničkog prijevoza i provedbom Ugovora o javnom željezničkom putničkom prijevozu na svim dionicama RH rasti će broj putnika željeznicom</w:t>
            </w:r>
          </w:p>
        </w:tc>
        <w:tc>
          <w:tcPr>
            <w:tcW w:w="1020" w:type="dxa"/>
          </w:tcPr>
          <w:p w:rsidR="00895DD6" w:rsidRDefault="00F31687">
            <w:pPr>
              <w:pStyle w:val="CellColumn"/>
              <w:jc w:val="right"/>
            </w:pPr>
            <w:r>
              <w:rPr>
                <w:rFonts w:cs="Times New Roman"/>
              </w:rPr>
              <w:t>%</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HŽPP</w:t>
            </w:r>
          </w:p>
        </w:tc>
        <w:tc>
          <w:tcPr>
            <w:tcW w:w="1020" w:type="dxa"/>
          </w:tcPr>
          <w:p w:rsidR="00895DD6" w:rsidRDefault="00F31687">
            <w:pPr>
              <w:pStyle w:val="CellColumn"/>
              <w:jc w:val="right"/>
            </w:pPr>
            <w:r>
              <w:rPr>
                <w:rFonts w:cs="Times New Roman"/>
              </w:rPr>
              <w:t>100</w:t>
            </w:r>
          </w:p>
        </w:tc>
        <w:tc>
          <w:tcPr>
            <w:tcW w:w="1020" w:type="dxa"/>
          </w:tcPr>
          <w:p w:rsidR="00895DD6" w:rsidRDefault="00F31687">
            <w:pPr>
              <w:pStyle w:val="CellColumn"/>
              <w:jc w:val="right"/>
            </w:pPr>
            <w:r>
              <w:rPr>
                <w:rFonts w:cs="Times New Roman"/>
              </w:rPr>
              <w:t>169,2</w:t>
            </w:r>
          </w:p>
        </w:tc>
      </w:tr>
    </w:tbl>
    <w:p w:rsidR="00895DD6" w:rsidRDefault="00895DD6">
      <w:pPr>
        <w:jc w:val="left"/>
      </w:pPr>
    </w:p>
    <w:p w:rsidR="00895DD6" w:rsidRDefault="00F31687">
      <w:pPr>
        <w:pStyle w:val="Heading4"/>
      </w:pPr>
      <w:r>
        <w:t>A819076 POTICANJE OTOČNOG JAVNOG CESTOVNOG PRIJEVOZA</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A819076-POTICANJE OTOČNOG JAVNOG CESTOVNOG PRIJEVOZA</w:t>
            </w:r>
          </w:p>
        </w:tc>
        <w:tc>
          <w:tcPr>
            <w:tcW w:w="2041" w:type="dxa"/>
          </w:tcPr>
          <w:p w:rsidR="00895DD6" w:rsidRDefault="00F31687">
            <w:pPr>
              <w:pStyle w:val="CellColumn"/>
              <w:jc w:val="right"/>
            </w:pPr>
            <w:r>
              <w:rPr>
                <w:rFonts w:cs="Times New Roman"/>
              </w:rPr>
              <w:t>4.368.504</w:t>
            </w:r>
          </w:p>
        </w:tc>
        <w:tc>
          <w:tcPr>
            <w:tcW w:w="2041" w:type="dxa"/>
          </w:tcPr>
          <w:p w:rsidR="00895DD6" w:rsidRDefault="00F31687">
            <w:pPr>
              <w:pStyle w:val="CellColumn"/>
              <w:jc w:val="right"/>
            </w:pPr>
            <w:r>
              <w:rPr>
                <w:rFonts w:cs="Times New Roman"/>
              </w:rPr>
              <w:t>6.811.566</w:t>
            </w:r>
          </w:p>
        </w:tc>
        <w:tc>
          <w:tcPr>
            <w:tcW w:w="2041" w:type="dxa"/>
          </w:tcPr>
          <w:p w:rsidR="00895DD6" w:rsidRDefault="00F31687">
            <w:pPr>
              <w:pStyle w:val="CellColumn"/>
              <w:jc w:val="right"/>
            </w:pPr>
            <w:r>
              <w:rPr>
                <w:rFonts w:cs="Times New Roman"/>
              </w:rPr>
              <w:t>5.911.927</w:t>
            </w:r>
          </w:p>
        </w:tc>
        <w:tc>
          <w:tcPr>
            <w:tcW w:w="1224" w:type="dxa"/>
          </w:tcPr>
          <w:p w:rsidR="00895DD6" w:rsidRDefault="00F31687">
            <w:pPr>
              <w:pStyle w:val="CellColumn"/>
              <w:jc w:val="right"/>
            </w:pPr>
            <w:r>
              <w:rPr>
                <w:rFonts w:cs="Times New Roman"/>
              </w:rPr>
              <w:t>86,8</w:t>
            </w:r>
          </w:p>
        </w:tc>
        <w:tc>
          <w:tcPr>
            <w:tcW w:w="1224" w:type="dxa"/>
          </w:tcPr>
          <w:p w:rsidR="00895DD6" w:rsidRDefault="00F31687">
            <w:pPr>
              <w:pStyle w:val="CellColumn"/>
              <w:jc w:val="right"/>
            </w:pPr>
            <w:r>
              <w:rPr>
                <w:rFonts w:cs="Times New Roman"/>
              </w:rPr>
              <w:t>135,3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otocima </w:t>
      </w:r>
    </w:p>
    <w:p w:rsidR="00895DD6" w:rsidRDefault="00F31687">
      <w:r>
        <w:t xml:space="preserve">- Pravilnik o uvjetima, kriterijima i načinu ostvarivanja prava na besplatni javni otočni cestovni prijevoz </w:t>
      </w:r>
    </w:p>
    <w:p w:rsidR="00895DD6" w:rsidRDefault="00F31687">
      <w:r>
        <w:t>- Zakon o prijevozu u cestovnom prometu (članak 33. stavak 17.)</w:t>
      </w:r>
    </w:p>
    <w:p w:rsidR="00895DD6" w:rsidRDefault="00F31687">
      <w:pPr>
        <w:pStyle w:val="Heading8"/>
        <w:jc w:val="left"/>
      </w:pPr>
      <w:r>
        <w:t>Opis aktivnosti</w:t>
      </w:r>
    </w:p>
    <w:p w:rsidR="00895DD6" w:rsidRDefault="00F31687">
      <w:r>
        <w:t>Sukladno odredbama Zakona o prijevozu u cestovnom prometu i Zakona o otocima, Ministarstvo financira prijevoz određenih kategorija stanovništva otočnog stanovništva (djeca do 8 godina, učenici, studenti, umirovljenici, osobe starije od 65 godina, korisnici</w:t>
      </w:r>
      <w:r>
        <w:t xml:space="preserve"> domova za starije i nemoćne osobe na otocima, osobe s invaliditetom i djeca s teškoćama u razvoju te osobe koje su u pratnji), koje imaju pravo na besplatni javni otočni cestovni prijevoz. </w:t>
      </w:r>
    </w:p>
    <w:p w:rsidR="00895DD6" w:rsidRDefault="00F31687">
      <w:r>
        <w:t>Stupanjem na snagu Pravilnika o načinu ostvarivanja prava na besp</w:t>
      </w:r>
      <w:r>
        <w:t>latan javni otočni cestovni prijevoz, obalno-otočne jedinice područne (regionalne) samouprave dužne su sklopiti ugovore o obavljanju otočnog cestovnog prijevoza s prijevoznicima i Ministarstvom kojima će se utvrditi maksimalni iznosi za pokriće nadoknade t</w:t>
      </w:r>
      <w:r>
        <w:t>roškova besplatnog prijevoza za korisnike kojima se izdaju pokazi. Na taj se način postiže redovno održavanje otočnog linijskog cestovnog prijevoza prilagođenog potrebama (najbrojnijih) cjelogodišnjih korisnika, što ujedno rezultira boljom mobilnosti cjelo</w:t>
      </w:r>
      <w:r>
        <w:t>kupnog stanovništva te bolju povezanost naselja na otoku i unaprjeđenje unutar otočnog javnog cestovnog prijevoza. Najveći učinak odražava se na otočne obitelji s djecom, jer se, uslijed ujednačavanja troškova prijevoza i rasporeda linija prilagođenih upra</w:t>
      </w:r>
      <w:r>
        <w:t>vo njihovim potrebama, većina učenika/studenata svakodnevno/vikendom vraća svojim obiteljima na otoke za razliku od prije kada su mnogi već u osnovnoj školi odlazili u veća mjesta i gradove izvan otoka (zbog visokih troškova prijevoza i neodgovarajuće uslu</w:t>
      </w:r>
      <w:r>
        <w:t xml:space="preserve">ge), što je dodatno utjecalo na depopulaciju i iseljavanje radno aktivnih otočnih obitelji. </w:t>
      </w:r>
    </w:p>
    <w:p w:rsidR="00895DD6" w:rsidRDefault="00F31687">
      <w:r>
        <w:t xml:space="preserve">Obalno-otočne županije su sukladno čl. 15. Pravilnika, dobile zahtjeve prijevoznika za povećanje sredstava u 2025. godini zbog usklađivanja s povećanjem indeksnog </w:t>
      </w:r>
      <w:r>
        <w:t>rasta cijena energenata te posljedično i drugih troškova (održavanje vozila), kao i utjecaja višegodišnje inflacije na troškove poslovanja, a broj prevezenih putnika na otocima je premali da bi bio rentabilan za cestovne prijevoznike. Cijene su usklađene s</w:t>
      </w:r>
      <w:r>
        <w:t xml:space="preserve"> cijenama na kopnu s jednakim relacijama kopnenog dijela. Stoga su se krajem 2025. godine povećala planirana sredstva, ali obalno-otočne županije nisu stigle obaviti proceduru, u skladu sa Zakonom o javnoj nabavi, temeljem kojih su trebale sklopiti nove ug</w:t>
      </w:r>
      <w:r>
        <w:t>ovore, radi čega sredstva nisu iskorištena u cijelosti.</w:t>
      </w:r>
    </w:p>
    <w:p w:rsidR="00895DD6" w:rsidRDefault="00F31687">
      <w:pPr>
        <w:pStyle w:val="Heading8"/>
        <w:jc w:val="left"/>
      </w:pPr>
      <w:r>
        <w:lastRenderedPageBreak/>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stanovnika</w:t>
            </w:r>
          </w:p>
        </w:tc>
        <w:tc>
          <w:tcPr>
            <w:tcW w:w="2551" w:type="dxa"/>
          </w:tcPr>
          <w:p w:rsidR="00895DD6" w:rsidRDefault="00F31687">
            <w:pPr>
              <w:pStyle w:val="CellColumn"/>
              <w:jc w:val="left"/>
            </w:pPr>
            <w:r>
              <w:rPr>
                <w:rFonts w:cs="Times New Roman"/>
              </w:rPr>
              <w:t>Povećanje broja stanovnika otoka koji koriste besplatni otočni javni prijevoz</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50.313</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51.171</w:t>
            </w:r>
          </w:p>
        </w:tc>
        <w:tc>
          <w:tcPr>
            <w:tcW w:w="1020" w:type="dxa"/>
          </w:tcPr>
          <w:p w:rsidR="00895DD6" w:rsidRDefault="00F31687">
            <w:pPr>
              <w:pStyle w:val="CellColumn"/>
              <w:jc w:val="right"/>
            </w:pPr>
            <w:r>
              <w:rPr>
                <w:rFonts w:cs="Times New Roman"/>
              </w:rPr>
              <w:t>60.907</w:t>
            </w:r>
          </w:p>
        </w:tc>
      </w:tr>
    </w:tbl>
    <w:p w:rsidR="00895DD6" w:rsidRDefault="00895DD6">
      <w:pPr>
        <w:jc w:val="left"/>
      </w:pPr>
    </w:p>
    <w:p w:rsidR="00895DD6" w:rsidRDefault="00F31687">
      <w:pPr>
        <w:pStyle w:val="Heading4"/>
      </w:pPr>
      <w:r>
        <w:t>A820076 SUFINANCIRANJE JAVNE USLUGE U CESTOVNOM PRIJEVOZU</w:t>
      </w:r>
    </w:p>
    <w:tbl>
      <w:tblPr>
        <w:tblStyle w:val="StilTablice"/>
        <w:tblW w:w="10206" w:type="dxa"/>
        <w:jc w:val="center"/>
        <w:tblLook w:val="04A0" w:firstRow="1" w:lastRow="0" w:firstColumn="1" w:lastColumn="0" w:noHBand="0" w:noVBand="1"/>
      </w:tblPr>
      <w:tblGrid>
        <w:gridCol w:w="1805"/>
        <w:gridCol w:w="1991"/>
        <w:gridCol w:w="1991"/>
        <w:gridCol w:w="1991"/>
        <w:gridCol w:w="1211"/>
        <w:gridCol w:w="1217"/>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w:t>
            </w:r>
            <w:r>
              <w:rPr>
                <w:rFonts w:cs="Times New Roman"/>
              </w:rPr>
              <w:t>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A820076-SUFINANCIRANJE JAVNE USLUGE U CESTOVNOM PRIJEVOZU</w:t>
            </w:r>
          </w:p>
        </w:tc>
        <w:tc>
          <w:tcPr>
            <w:tcW w:w="2041" w:type="dxa"/>
          </w:tcPr>
          <w:p w:rsidR="00895DD6" w:rsidRDefault="00F31687">
            <w:pPr>
              <w:pStyle w:val="CellColumn"/>
              <w:jc w:val="right"/>
            </w:pPr>
            <w:r>
              <w:rPr>
                <w:rFonts w:cs="Times New Roman"/>
              </w:rPr>
              <w:t>12.015.143</w:t>
            </w:r>
          </w:p>
        </w:tc>
        <w:tc>
          <w:tcPr>
            <w:tcW w:w="2041" w:type="dxa"/>
          </w:tcPr>
          <w:p w:rsidR="00895DD6" w:rsidRDefault="00F31687">
            <w:pPr>
              <w:pStyle w:val="CellColumn"/>
              <w:jc w:val="right"/>
            </w:pPr>
            <w:r>
              <w:rPr>
                <w:rFonts w:cs="Times New Roman"/>
              </w:rPr>
              <w:t>18.344.762</w:t>
            </w:r>
          </w:p>
        </w:tc>
        <w:tc>
          <w:tcPr>
            <w:tcW w:w="2041" w:type="dxa"/>
          </w:tcPr>
          <w:p w:rsidR="00895DD6" w:rsidRDefault="00F31687">
            <w:pPr>
              <w:pStyle w:val="CellColumn"/>
              <w:jc w:val="right"/>
            </w:pPr>
            <w:r>
              <w:rPr>
                <w:rFonts w:cs="Times New Roman"/>
              </w:rPr>
              <w:t>17.785.566</w:t>
            </w:r>
          </w:p>
        </w:tc>
        <w:tc>
          <w:tcPr>
            <w:tcW w:w="1224" w:type="dxa"/>
          </w:tcPr>
          <w:p w:rsidR="00895DD6" w:rsidRDefault="00F31687">
            <w:pPr>
              <w:pStyle w:val="CellColumn"/>
              <w:jc w:val="right"/>
            </w:pPr>
            <w:r>
              <w:rPr>
                <w:rFonts w:cs="Times New Roman"/>
              </w:rPr>
              <w:t>97,0</w:t>
            </w:r>
          </w:p>
        </w:tc>
        <w:tc>
          <w:tcPr>
            <w:tcW w:w="1224" w:type="dxa"/>
          </w:tcPr>
          <w:p w:rsidR="00895DD6" w:rsidRDefault="00F31687">
            <w:pPr>
              <w:pStyle w:val="CellColumn"/>
              <w:jc w:val="right"/>
            </w:pPr>
            <w:r>
              <w:rPr>
                <w:rFonts w:cs="Times New Roman"/>
              </w:rPr>
              <w:t>148,0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Uredba Europskog parlamenta i Vijeća o uslugama javnog željezničkog i cestovnog prijevoza putnika  </w:t>
      </w:r>
    </w:p>
    <w:p w:rsidR="00895DD6" w:rsidRDefault="00F31687">
      <w:r>
        <w:t xml:space="preserve">- Zakon o prijevozu u cestovnom prometu (članak 33.)  </w:t>
      </w:r>
    </w:p>
    <w:p w:rsidR="00895DD6" w:rsidRDefault="00F31687">
      <w:r>
        <w:t>- Odluka o iznosima sufinanciranja, mjerilima i kriterijima za sufinanciranje javne usluge u cestovnom prijevozu putnika</w:t>
      </w:r>
    </w:p>
    <w:p w:rsidR="00895DD6" w:rsidRDefault="00F31687">
      <w:pPr>
        <w:pStyle w:val="Heading8"/>
        <w:jc w:val="left"/>
      </w:pPr>
      <w:r>
        <w:t>Opis aktivnosti</w:t>
      </w:r>
    </w:p>
    <w:p w:rsidR="00895DD6" w:rsidRDefault="00F31687">
      <w:r>
        <w:t>U cilju osiguranja nesmetanog obavljanja javnog linijskog prijevoza, ovom mjerom osiguravaju se sredstva radi sufinanci</w:t>
      </w:r>
      <w:r>
        <w:t xml:space="preserve">ranja naknade cestovnim prijevoznicima za obavljanje prijevoza na redovnim autobusnim linijama na području županija, a koje se obavljaju kao javna usluga. </w:t>
      </w:r>
    </w:p>
    <w:p w:rsidR="00895DD6" w:rsidRDefault="00F31687">
      <w:r>
        <w:t xml:space="preserve">Ugovori o prijevozu, kao javnoj usluzi, sklapaju se na rok koji nije duži od deset godina. Sredstva </w:t>
      </w:r>
      <w:r>
        <w:t>za financiranje javne usluge se osiguravaju iz prodaje voznih karata, proračuna jedinica područne (regionalne) samouprave i iz državnog proračuna RH. Vlada Republike Hrvatske donijela je Uredbu o postupku sklapanja ugovora o javnim uslugama i Odluku o izno</w:t>
      </w:r>
      <w:r>
        <w:t>sima sufinanciranja, mjerilima i kriterijima za sufinanciranje javne usluge u cestovnom prijevozu putnika, temeljem koji sufinancira javnu uslugu u cestovnom prijevozu putnika ugovorenu između jedinica područne (regionalne) samouprave i prijevoznika u razd</w:t>
      </w:r>
      <w:r>
        <w:t xml:space="preserve">oblju od 2021. do 2027., u godišnjem iznosu utvrđenom u državnom proračunu do najviše 56.820.855 EUR. </w:t>
      </w:r>
    </w:p>
    <w:p w:rsidR="00895DD6" w:rsidRDefault="00F31687">
      <w:r>
        <w:t xml:space="preserve">Temeljem istih, sklopljeni su višegodišnji ugovori na rok od 7 godina o sufinanciranju javne usluge u cestovnom prijevozu putnika putem javnih natječaja </w:t>
      </w:r>
      <w:r>
        <w:t>i to sa: Virovitičko-podravskom županijom, Bjelovarsko-bilogorskom županijom, Zagrebačkom županijom, Koprivničko-križevačkom županijom, Šibensko-kninskom županijom i Ličko-senjskom županijom. Županije koje su bile planirane, nisu uspjele završiti javni nat</w:t>
      </w:r>
      <w:r>
        <w:t>ječaj, zbog čega u potpunosti nisu iskorištena planirana sredstva.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lastRenderedPageBreak/>
              <w:t>Povećanje broja županija koje na svom administrativnom području imaju sklopljen ugovor o javnom linijskom prijevozu putnika u cestovnom prometu kao javnoj usluzi</w:t>
            </w:r>
          </w:p>
        </w:tc>
        <w:tc>
          <w:tcPr>
            <w:tcW w:w="2551" w:type="dxa"/>
          </w:tcPr>
          <w:p w:rsidR="00895DD6" w:rsidRDefault="00F31687">
            <w:pPr>
              <w:pStyle w:val="CellColumn"/>
              <w:jc w:val="left"/>
            </w:pPr>
            <w:r>
              <w:rPr>
                <w:rFonts w:cs="Times New Roman"/>
              </w:rPr>
              <w:t>Županije izrađuju mrežu linija koja je podloga za sklapanje ugovora o prijevozu kao javnoj usl</w:t>
            </w:r>
            <w:r>
              <w:rPr>
                <w:rFonts w:cs="Times New Roman"/>
              </w:rPr>
              <w:t>uzi (PSO), te osiguravaju potrebna sredstva za sufinanciranje planirane mreže. Na taj način osigurava se pružanje usluga od općeg interesa krajnjim korisnicima, koje su redovitije, sigurnije, kvalitetnije ili pružene uz niži trošak od onih koje bi samo trž</w:t>
            </w:r>
            <w:r>
              <w:rPr>
                <w:rFonts w:cs="Times New Roman"/>
              </w:rPr>
              <w:t>ište moglo ponuditi.</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5</w:t>
            </w:r>
          </w:p>
        </w:tc>
        <w:tc>
          <w:tcPr>
            <w:tcW w:w="1020" w:type="dxa"/>
          </w:tcPr>
          <w:p w:rsidR="00895DD6" w:rsidRDefault="00F31687">
            <w:pPr>
              <w:pStyle w:val="CellColumn"/>
              <w:jc w:val="right"/>
            </w:pPr>
            <w:r>
              <w:rPr>
                <w:rFonts w:cs="Times New Roman"/>
              </w:rPr>
              <w:t>Ministarst vo mora, prometa i infrastruk ture</w:t>
            </w:r>
          </w:p>
        </w:tc>
        <w:tc>
          <w:tcPr>
            <w:tcW w:w="1020" w:type="dxa"/>
          </w:tcPr>
          <w:p w:rsidR="00895DD6" w:rsidRDefault="00F31687">
            <w:pPr>
              <w:pStyle w:val="CellColumn"/>
              <w:jc w:val="right"/>
            </w:pPr>
            <w:r>
              <w:rPr>
                <w:rFonts w:cs="Times New Roman"/>
              </w:rPr>
              <w:t>10</w:t>
            </w:r>
          </w:p>
        </w:tc>
        <w:tc>
          <w:tcPr>
            <w:tcW w:w="1020" w:type="dxa"/>
          </w:tcPr>
          <w:p w:rsidR="00895DD6" w:rsidRDefault="00F31687">
            <w:pPr>
              <w:pStyle w:val="CellColumn"/>
              <w:jc w:val="right"/>
            </w:pPr>
            <w:r>
              <w:rPr>
                <w:rFonts w:cs="Times New Roman"/>
              </w:rPr>
              <w:t>6</w:t>
            </w:r>
          </w:p>
        </w:tc>
      </w:tr>
    </w:tbl>
    <w:p w:rsidR="00895DD6" w:rsidRDefault="00895DD6">
      <w:pPr>
        <w:jc w:val="left"/>
      </w:pPr>
    </w:p>
    <w:p w:rsidR="00895DD6" w:rsidRDefault="00F31687">
      <w:pPr>
        <w:pStyle w:val="Heading4"/>
      </w:pPr>
      <w:r>
        <w:t>A821084 ODRŽAVANJE SUSTAVA ZA SREDIŠNJU OBRADU TAHOGRAFSKIH PODATAKA - SOTAH</w:t>
      </w:r>
    </w:p>
    <w:tbl>
      <w:tblPr>
        <w:tblStyle w:val="StilTablice"/>
        <w:tblW w:w="10206" w:type="dxa"/>
        <w:jc w:val="center"/>
        <w:tblLook w:val="04A0" w:firstRow="1" w:lastRow="0" w:firstColumn="1" w:lastColumn="0" w:noHBand="0" w:noVBand="1"/>
      </w:tblPr>
      <w:tblGrid>
        <w:gridCol w:w="1670"/>
        <w:gridCol w:w="2030"/>
        <w:gridCol w:w="2030"/>
        <w:gridCol w:w="2031"/>
        <w:gridCol w:w="1222"/>
        <w:gridCol w:w="1223"/>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w:t>
            </w:r>
            <w:r>
              <w:rPr>
                <w:rFonts w:cs="Times New Roman"/>
              </w:rPr>
              <w:t>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A821084-ODRŽAVANJE SUSTAVA ZA SREDIŠNJU OBRADU TAHOGRAFSKIH PODATAKA - SOTAH</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407.100</w:t>
            </w:r>
          </w:p>
        </w:tc>
        <w:tc>
          <w:tcPr>
            <w:tcW w:w="2041" w:type="dxa"/>
          </w:tcPr>
          <w:p w:rsidR="00895DD6" w:rsidRDefault="00F31687">
            <w:pPr>
              <w:pStyle w:val="CellColumn"/>
              <w:jc w:val="right"/>
            </w:pPr>
            <w:r>
              <w:rPr>
                <w:rFonts w:cs="Times New Roman"/>
              </w:rPr>
              <w:t>509.567</w:t>
            </w:r>
          </w:p>
        </w:tc>
        <w:tc>
          <w:tcPr>
            <w:tcW w:w="1224" w:type="dxa"/>
          </w:tcPr>
          <w:p w:rsidR="00895DD6" w:rsidRDefault="00F31687">
            <w:pPr>
              <w:pStyle w:val="CellColumn"/>
              <w:jc w:val="right"/>
            </w:pPr>
            <w:r>
              <w:rPr>
                <w:rFonts w:cs="Times New Roman"/>
              </w:rPr>
              <w:t>125,2</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radnom vremenu, obveznim odmorima mobilnih radnika i uređajima za bilježenje u cestovnom prijevozu  </w:t>
      </w:r>
    </w:p>
    <w:p w:rsidR="00895DD6" w:rsidRDefault="00F31687">
      <w:r>
        <w:t xml:space="preserve">- Pravilnik o prijenosu podataka u središnju bazu tahografskih podataka te načinu vođenja evidencije o radnom vremenu mobilnih radnika  </w:t>
      </w:r>
    </w:p>
    <w:p w:rsidR="00895DD6" w:rsidRDefault="00F31687">
      <w:r>
        <w:t xml:space="preserve">- Pravilnik o radionicama za tahografe  </w:t>
      </w:r>
    </w:p>
    <w:p w:rsidR="00895DD6" w:rsidRDefault="00F31687">
      <w:r>
        <w:t xml:space="preserve">- Odluka MMPI o uvjetima pružanja usluga SOTAH i naknadi troškova za pružanje usluga SOTAH  </w:t>
      </w:r>
    </w:p>
    <w:p w:rsidR="00895DD6" w:rsidRDefault="00F31687">
      <w:r>
        <w:t>- Direktiva 2002/15 EZ Europskog parlamenta i Vijeća od 11. ožujka 2002. o organizaciji radnog vremena osoba koje obavljaj</w:t>
      </w:r>
      <w:r>
        <w:t>u djelatnost mobilnog cestovnog prijevoza</w:t>
      </w:r>
    </w:p>
    <w:p w:rsidR="00895DD6" w:rsidRDefault="00F31687">
      <w:pPr>
        <w:pStyle w:val="Heading8"/>
        <w:jc w:val="left"/>
      </w:pPr>
      <w:r>
        <w:t>Opis aktivnosti</w:t>
      </w:r>
    </w:p>
    <w:p w:rsidR="00895DD6" w:rsidRDefault="00F31687">
      <w:r>
        <w:t>SOTAH je sustav za središnju obradu tahografskih podataka koji prikuplja, pohranjuje, obrađuje i čuva tahografske podatke. SOTAH je uspostavljen Pravilnikom o prijenosu podataka u središnju bazu tahografskih podataka te načinu vođenja evidencije o radnom v</w:t>
      </w:r>
      <w:r>
        <w:t>remenu mobilnih radnika, a njegove su funkcionalnosti proširene Pravilnikom o radionicama za tahografe. Ciljevi SOTAH-a su poboljšati uvjete rada i sigurnost cestovnog prometa te povećati učinkovitost i djelotvornost nadzora nad provedbom Zakona o radnom v</w:t>
      </w:r>
      <w:r>
        <w:t>remenu, obveznim odmorima mobilnih radnika i uređajima za bilježenje u cestovnom prijevozu. Usluge SOTAH pruža Nositelj javne ovlasti za izdavanje kartica tahografa koji upravlja državnom informacijskom infrastrukturom SOTAH-a po odobrenju i pod nadzorom M</w:t>
      </w:r>
      <w:r>
        <w:t xml:space="preserve">inistarstva mora, prometa i infrastrukture. Pružatelj usluge je AKD d.o.o. Ured za izvršenje javnih ovlasti registraciju. Korisnici SOTAH-a su vozači, tehničari, osobe ovlaštene za zastupanje poduzeća i radionica, osoblje poduzeća i radionica kao i ostali </w:t>
      </w:r>
      <w:r>
        <w:t xml:space="preserve">registrirani korisnici kojima je omogućeno korištenje SOTAH-a u skladu s Uvjetima pružanja i korištenja usluga SOTAH. Ovi uvjeti se ne primjenjuju na službenike nadzornog tijela koji mogu pristupati i koristiti podatke u SOTAH-u radi obavljanja poslova iz </w:t>
      </w:r>
      <w:r>
        <w:t xml:space="preserve">njihova djelokruga. </w:t>
      </w:r>
    </w:p>
    <w:p w:rsidR="00895DD6" w:rsidRDefault="00F31687">
      <w:r>
        <w:t xml:space="preserve">Za predmetno razdoblje planirana je izrada ukupno 100.000 SOTAH obrazaca, dok je realizirano 43.800 obrazaca. Obrada i ispunjavanje obrazaca provodi se isključivo na temelju zaprimljenih zahtjeva naručitelja, odnosno prema </w:t>
      </w:r>
      <w:r>
        <w:lastRenderedPageBreak/>
        <w:t>stvarnoj din</w:t>
      </w:r>
      <w:r>
        <w:t>amici i opsegu pristiglih zahtjeva. S obzirom na ranije procjene i iskazani interes, očekivao se veći broj zaprimljenih zahtjeva te posljedično i veća realizacija.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w:t>
            </w:r>
            <w:r>
              <w:rPr>
                <w:rFonts w:cs="Times New Roman"/>
              </w:rPr>
              <w:t>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Broj izdanih kompleta (obrazac + naljepnica) potvrda o ispitivanju tahografa</w:t>
            </w:r>
          </w:p>
        </w:tc>
        <w:tc>
          <w:tcPr>
            <w:tcW w:w="2551" w:type="dxa"/>
          </w:tcPr>
          <w:p w:rsidR="00895DD6" w:rsidRDefault="00F31687">
            <w:pPr>
              <w:pStyle w:val="CellColumn"/>
              <w:jc w:val="left"/>
            </w:pPr>
            <w:r>
              <w:rPr>
                <w:rFonts w:cs="Times New Roman"/>
              </w:rPr>
              <w:t>Na temelju Odluke ministra AKD-u se isplaćuju novčana sredstva za izdane komplete potvrda o ispitivanju</w:t>
            </w:r>
          </w:p>
        </w:tc>
        <w:tc>
          <w:tcPr>
            <w:tcW w:w="1020" w:type="dxa"/>
          </w:tcPr>
          <w:p w:rsidR="00895DD6" w:rsidRDefault="00F31687">
            <w:pPr>
              <w:pStyle w:val="CellColumn"/>
              <w:jc w:val="right"/>
            </w:pPr>
            <w:r>
              <w:rPr>
                <w:rFonts w:cs="Times New Roman"/>
              </w:rPr>
              <w:t>broj kompleta</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AKD</w:t>
            </w:r>
          </w:p>
        </w:tc>
        <w:tc>
          <w:tcPr>
            <w:tcW w:w="1020" w:type="dxa"/>
          </w:tcPr>
          <w:p w:rsidR="00895DD6" w:rsidRDefault="00F31687">
            <w:pPr>
              <w:pStyle w:val="CellColumn"/>
              <w:jc w:val="right"/>
            </w:pPr>
            <w:r>
              <w:rPr>
                <w:rFonts w:cs="Times New Roman"/>
              </w:rPr>
              <w:t>100.000</w:t>
            </w:r>
          </w:p>
        </w:tc>
        <w:tc>
          <w:tcPr>
            <w:tcW w:w="1020" w:type="dxa"/>
          </w:tcPr>
          <w:p w:rsidR="00895DD6" w:rsidRDefault="00F31687">
            <w:pPr>
              <w:pStyle w:val="CellColumn"/>
              <w:jc w:val="right"/>
            </w:pPr>
            <w:r>
              <w:rPr>
                <w:rFonts w:cs="Times New Roman"/>
              </w:rPr>
              <w:t>43.800</w:t>
            </w:r>
          </w:p>
        </w:tc>
      </w:tr>
    </w:tbl>
    <w:p w:rsidR="00895DD6" w:rsidRDefault="00895DD6">
      <w:pPr>
        <w:jc w:val="left"/>
      </w:pPr>
    </w:p>
    <w:p w:rsidR="00895DD6" w:rsidRDefault="00F31687">
      <w:pPr>
        <w:pStyle w:val="Heading4"/>
      </w:pPr>
      <w:r>
        <w:t>T761085 FINANCIRANJE PROJEKTA GLOBALNOG SUSTAVA POKRETNIH KOMUNIKACIJA ZA ŽELJEZNIČKI PROMET (GSM-R) I MIGRACIJA NA FRMCS NA ŽELJEZNIČKIM PRUGAMA KOJIMA UPRAVLJA HŽ INFRASTRUKTURA D.O.O.</w:t>
      </w:r>
    </w:p>
    <w:tbl>
      <w:tblPr>
        <w:tblStyle w:val="StilTablice"/>
        <w:tblW w:w="10206" w:type="dxa"/>
        <w:jc w:val="center"/>
        <w:tblLook w:val="04A0" w:firstRow="1" w:lastRow="0" w:firstColumn="1" w:lastColumn="0" w:noHBand="0" w:noVBand="1"/>
      </w:tblPr>
      <w:tblGrid>
        <w:gridCol w:w="1915"/>
        <w:gridCol w:w="1963"/>
        <w:gridCol w:w="1944"/>
        <w:gridCol w:w="1963"/>
        <w:gridCol w:w="1207"/>
        <w:gridCol w:w="121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w:t>
            </w:r>
            <w:r>
              <w:rPr>
                <w:rFonts w:cs="Times New Roman"/>
              </w:rPr>
              <w:t>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T761085-FINANCIRANJE PROJEKTA GLOBALNOG SUSTAVA POKRETNIH KOMUNIKACIJA ZA ŽELJEZNIČKI PROMET (GSM-R) I MIGRACIJA NA FRMCS NA ŽELJEZNIČKIM PRUGAMA KOJIMA UPRAVLJA HŽ INFRASTRUKTURA D.O.O.</w:t>
            </w:r>
          </w:p>
        </w:tc>
        <w:tc>
          <w:tcPr>
            <w:tcW w:w="2041" w:type="dxa"/>
          </w:tcPr>
          <w:p w:rsidR="00895DD6" w:rsidRDefault="00F31687">
            <w:pPr>
              <w:pStyle w:val="CellColumn"/>
              <w:jc w:val="right"/>
            </w:pPr>
            <w:r>
              <w:rPr>
                <w:rFonts w:cs="Times New Roman"/>
              </w:rPr>
              <w:t>0</w:t>
            </w:r>
          </w:p>
        </w:tc>
        <w:tc>
          <w:tcPr>
            <w:tcW w:w="2041" w:type="dxa"/>
          </w:tcPr>
          <w:p w:rsidR="00895DD6" w:rsidRDefault="00F31687">
            <w:pPr>
              <w:pStyle w:val="CellColumn"/>
              <w:jc w:val="right"/>
            </w:pPr>
            <w:r>
              <w:rPr>
                <w:rFonts w:cs="Times New Roman"/>
              </w:rPr>
              <w:t>0</w:t>
            </w:r>
          </w:p>
        </w:tc>
        <w:tc>
          <w:tcPr>
            <w:tcW w:w="2041" w:type="dxa"/>
          </w:tcPr>
          <w:p w:rsidR="00895DD6" w:rsidRDefault="00F31687">
            <w:pPr>
              <w:pStyle w:val="CellColumn"/>
              <w:jc w:val="right"/>
            </w:pPr>
            <w:r>
              <w:rPr>
                <w:rFonts w:cs="Times New Roman"/>
              </w:rPr>
              <w:t>0</w:t>
            </w:r>
          </w:p>
        </w:tc>
        <w:tc>
          <w:tcPr>
            <w:tcW w:w="1224" w:type="dxa"/>
          </w:tcPr>
          <w:p w:rsidR="00895DD6" w:rsidRDefault="00F31687">
            <w:pPr>
              <w:pStyle w:val="CellColumn"/>
              <w:jc w:val="right"/>
            </w:pPr>
            <w:r>
              <w:rPr>
                <w:rFonts w:cs="Times New Roman"/>
              </w:rPr>
              <w:t>0</w:t>
            </w:r>
          </w:p>
        </w:tc>
        <w:tc>
          <w:tcPr>
            <w:tcW w:w="1224" w:type="dxa"/>
          </w:tcPr>
          <w:p w:rsidR="00895DD6" w:rsidRDefault="00F31687">
            <w:pPr>
              <w:pStyle w:val="CellColumn"/>
              <w:jc w:val="right"/>
            </w:pPr>
            <w:r>
              <w:rPr>
                <w:rFonts w:cs="Times New Roman"/>
              </w:rPr>
              <w:t>0</w:t>
            </w:r>
          </w:p>
        </w:tc>
      </w:tr>
    </w:tbl>
    <w:p w:rsidR="00895DD6" w:rsidRDefault="00895DD6">
      <w:pPr>
        <w:jc w:val="left"/>
      </w:pPr>
    </w:p>
    <w:p w:rsidR="00895DD6" w:rsidRDefault="00F31687">
      <w:pPr>
        <w:pStyle w:val="Heading8"/>
        <w:jc w:val="left"/>
      </w:pPr>
      <w:r>
        <w:t>Zakonske i druge pravne osnove</w:t>
      </w:r>
    </w:p>
    <w:p w:rsidR="00895DD6" w:rsidRDefault="00F31687">
      <w:r>
        <w:t>- Zakon o željeznici, član</w:t>
      </w:r>
      <w:r>
        <w:t xml:space="preserve">ak 18.    </w:t>
      </w:r>
    </w:p>
    <w:p w:rsidR="00895DD6" w:rsidRDefault="00F31687">
      <w:r>
        <w:t xml:space="preserve">- Zakon o sigurnosti i interoperabilnosti željezničkog sustav¸ </w:t>
      </w:r>
    </w:p>
    <w:p w:rsidR="00895DD6" w:rsidRDefault="00F31687">
      <w:r>
        <w:t xml:space="preserve">- Provedbena Uredba Komisije (EU) 2023/1695 оd 10. kolovoza 2023. o tehničkoj specifikaciji za interoperabilnost u vezi s prometno-upravljačkim i signalno-sigurnosnim podsustavima željezničkog sustava u Europskoj uniji i stavljanju izvan snage Uredbe (EU) </w:t>
      </w:r>
      <w:r>
        <w:t xml:space="preserve">2016/919 </w:t>
      </w:r>
    </w:p>
    <w:p w:rsidR="00895DD6" w:rsidRDefault="00F31687">
      <w:r>
        <w:t xml:space="preserve">- Pravilnik o tehničkim uvjetima za prometno-upravljački i signalno-sigurnosni željeznički infrastrukturni podsustav (RH-405) </w:t>
      </w:r>
    </w:p>
    <w:p w:rsidR="00895DD6" w:rsidRDefault="00F31687">
      <w:r>
        <w:t xml:space="preserve">- Strategija prometnog razvoja Republike Hrvatske za razdoblje od 2017. do 2030. godine   </w:t>
      </w:r>
    </w:p>
    <w:p w:rsidR="00895DD6" w:rsidRDefault="00F31687">
      <w:r>
        <w:t>- Nacionalna razvojna strate</w:t>
      </w:r>
      <w:r>
        <w:t xml:space="preserve">gija Republike Hrvatske do 2030. godine (NRS 2030.)  </w:t>
      </w:r>
    </w:p>
    <w:p w:rsidR="00895DD6" w:rsidRDefault="00F31687">
      <w:r>
        <w:t xml:space="preserve">- Nacionalni program reformi (NPR 2020.)  </w:t>
      </w:r>
    </w:p>
    <w:p w:rsidR="00895DD6" w:rsidRDefault="00F31687">
      <w:r>
        <w:t xml:space="preserve">- Zakon o sustavu strateškog planiranja i upravljanja razvojem Republike Hrvatske  </w:t>
      </w:r>
    </w:p>
    <w:p w:rsidR="00895DD6" w:rsidRDefault="00F31687">
      <w:r>
        <w:lastRenderedPageBreak/>
        <w:t>- Strategija razvoja željezničkog sustava Republike Hrvatske do 2032. godin</w:t>
      </w:r>
      <w:r>
        <w:t xml:space="preserve">e  </w:t>
      </w:r>
    </w:p>
    <w:p w:rsidR="00895DD6" w:rsidRDefault="00F31687">
      <w:r>
        <w:t xml:space="preserve">- Nacionalni plan upravljanja željezničkom infrastrukturom i uslužnim objektima i razvoja    </w:t>
      </w:r>
    </w:p>
    <w:p w:rsidR="00895DD6" w:rsidRDefault="00F31687">
      <w:r>
        <w:t xml:space="preserve">   usluga željezničkog prijevoza za razdoblje do 2030. godine  </w:t>
      </w:r>
    </w:p>
    <w:p w:rsidR="00895DD6" w:rsidRDefault="00F31687">
      <w:r>
        <w:t>- Nacionalni plan razvoja željezničke infrastrukture za razdoblje do 2030. godine</w:t>
      </w:r>
    </w:p>
    <w:p w:rsidR="00895DD6" w:rsidRDefault="00F31687">
      <w:pPr>
        <w:pStyle w:val="Heading8"/>
        <w:jc w:val="left"/>
      </w:pPr>
      <w:r>
        <w:t>Opis aktivno</w:t>
      </w:r>
      <w:r>
        <w:t>sti</w:t>
      </w:r>
    </w:p>
    <w:p w:rsidR="00895DD6" w:rsidRDefault="00F31687">
      <w:r>
        <w:t xml:space="preserve">Projektom se planiraju postići sljedeći ciljevi: </w:t>
      </w:r>
    </w:p>
    <w:p w:rsidR="00895DD6" w:rsidRDefault="00F31687">
      <w:r>
        <w:t>-</w:t>
      </w:r>
      <w:r>
        <w:tab/>
        <w:t xml:space="preserve">interoperabilnost odnosno nesmetan prekogranični promet i željeznički promet između različitih država Europske unije, </w:t>
      </w:r>
    </w:p>
    <w:p w:rsidR="00895DD6" w:rsidRDefault="00F31687">
      <w:r>
        <w:t>-</w:t>
      </w:r>
      <w:r>
        <w:tab/>
        <w:t xml:space="preserve">zamjena postojećeg analognog radiodispečerskog RD sustava komunikacija, </w:t>
      </w:r>
    </w:p>
    <w:p w:rsidR="00895DD6" w:rsidRDefault="00F31687">
      <w:r>
        <w:t>-</w:t>
      </w:r>
      <w:r>
        <w:tab/>
        <w:t>izgr</w:t>
      </w:r>
      <w:r>
        <w:t xml:space="preserve">adnja primarnog i pričuvnog dispečerskog i nadzornog centra, </w:t>
      </w:r>
    </w:p>
    <w:p w:rsidR="00895DD6" w:rsidRDefault="00F31687">
      <w:r>
        <w:t>-</w:t>
      </w:r>
      <w:r>
        <w:tab/>
        <w:t xml:space="preserve">izgradnja novog računskog centra, </w:t>
      </w:r>
    </w:p>
    <w:p w:rsidR="00895DD6" w:rsidRDefault="00F31687">
      <w:r>
        <w:t>-</w:t>
      </w:r>
      <w:r>
        <w:tab/>
        <w:t xml:space="preserve">izgradnja nove optičke i energetske infrastrukture, </w:t>
      </w:r>
    </w:p>
    <w:p w:rsidR="00895DD6" w:rsidRDefault="00F31687">
      <w:r>
        <w:t>-</w:t>
      </w:r>
      <w:r>
        <w:tab/>
        <w:t xml:space="preserve">sigurna komunikacijska veza između svih zainteresiranih korisnika te različitih skupina korisnika koji sudjeluju u željezničkom prometu, </w:t>
      </w:r>
    </w:p>
    <w:p w:rsidR="00895DD6" w:rsidRDefault="00F31687">
      <w:r>
        <w:t>-</w:t>
      </w:r>
      <w:r>
        <w:tab/>
        <w:t xml:space="preserve">zamjena postojećeg i izgradnja novog centralnog sustava za glasovno i vizualno informiranje putnika, </w:t>
      </w:r>
    </w:p>
    <w:p w:rsidR="00895DD6" w:rsidRDefault="00F31687">
      <w:r>
        <w:t>-</w:t>
      </w:r>
      <w:r>
        <w:tab/>
        <w:t xml:space="preserve">podizanje </w:t>
      </w:r>
      <w:r>
        <w:t xml:space="preserve">razine sigurnosti željezničkog prometa, </w:t>
      </w:r>
    </w:p>
    <w:p w:rsidR="00895DD6" w:rsidRDefault="00F31687">
      <w:r>
        <w:t>-</w:t>
      </w:r>
      <w:r>
        <w:tab/>
        <w:t xml:space="preserve">pružanje novih komunikacijskih usluga za željezničke prijevoznike,  </w:t>
      </w:r>
    </w:p>
    <w:p w:rsidR="00895DD6" w:rsidRDefault="00F31687">
      <w:r>
        <w:t>-</w:t>
      </w:r>
      <w:r>
        <w:tab/>
        <w:t xml:space="preserve">znatno povećanje iskoristivosti kapaciteta željezničkih pruga, </w:t>
      </w:r>
    </w:p>
    <w:p w:rsidR="00895DD6" w:rsidRDefault="00F31687">
      <w:r>
        <w:t>-</w:t>
      </w:r>
      <w:r>
        <w:tab/>
        <w:t xml:space="preserve">veća gustoća prometovanja vlakova i veće ostvarenje prihoda, </w:t>
      </w:r>
    </w:p>
    <w:p w:rsidR="00895DD6" w:rsidRDefault="00F31687">
      <w:r>
        <w:t>-</w:t>
      </w:r>
      <w:r>
        <w:tab/>
        <w:t>mogućnost ug</w:t>
      </w:r>
      <w:r>
        <w:t xml:space="preserve">radnje sustava upravljanja i nadzora vlakova ETCS razine 2. i 3, odnosno postupno uvođenje Europskog sustava upravljanja željezničkim prometom ERTMS na mreži željezničkih pruga u Republici Hrvatskoj. </w:t>
      </w:r>
    </w:p>
    <w:p w:rsidR="00895DD6" w:rsidRDefault="00F31687">
      <w:r>
        <w:t xml:space="preserve">Projekt uključuje radijsko i frekvencijsko planiranje, </w:t>
      </w:r>
      <w:r>
        <w:t>projektiranje izgradnju nove svjetlovodne i energetske mreže, baznih stanica s atenskim stupovima, IP MPLS mreže, primarnog i sekundarnog računskog centra, novog dispečerskog i nadzornog centra, sustava za informiranje putnika, satnih sustava, sustava info</w:t>
      </w:r>
      <w:r>
        <w:t xml:space="preserve">rmacijske sigurnosti, sustava tehničke zaštite i kontrole pristupa i dr. </w:t>
      </w:r>
    </w:p>
    <w:p w:rsidR="00895DD6" w:rsidRDefault="00F31687">
      <w:r>
        <w:t xml:space="preserve">Predmet nabave i provedba ugovora podijeljeni su u tri faze: </w:t>
      </w:r>
    </w:p>
    <w:p w:rsidR="00895DD6" w:rsidRDefault="00F31687">
      <w:r>
        <w:t>1.</w:t>
      </w:r>
      <w:r>
        <w:tab/>
        <w:t>Izrada projektne odnosno tehničke dokumentacije za izgradnju;2.</w:t>
      </w:r>
      <w:r>
        <w:tab/>
        <w:t xml:space="preserve">Izgradnja Globalnog sustava mobilnih komunikacija za </w:t>
      </w:r>
      <w:r>
        <w:t xml:space="preserve">željeznički promet; </w:t>
      </w:r>
    </w:p>
    <w:p w:rsidR="00895DD6" w:rsidRDefault="00F31687">
      <w:r>
        <w:t>3.</w:t>
      </w:r>
      <w:r>
        <w:tab/>
        <w:t xml:space="preserve">Migracija GSM-R mreže na FRMCS mrežu. </w:t>
      </w:r>
    </w:p>
    <w:p w:rsidR="00895DD6" w:rsidRDefault="00F31687">
      <w:r>
        <w:t>Ukupno predviđeno trajanje projekta iznosi sedam godina.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Uveden Globalni sustav pokretnih komunikacija za željeznički promet (GSM-R) i migracija na FRMCS na željezničkim prugama</w:t>
            </w:r>
          </w:p>
        </w:tc>
        <w:tc>
          <w:tcPr>
            <w:tcW w:w="2551" w:type="dxa"/>
          </w:tcPr>
          <w:p w:rsidR="00895DD6" w:rsidRDefault="00F31687">
            <w:pPr>
              <w:pStyle w:val="CellColumn"/>
              <w:jc w:val="left"/>
            </w:pPr>
            <w:r>
              <w:rPr>
                <w:rFonts w:cs="Times New Roman"/>
              </w:rPr>
              <w:t>Duljina pruga opremljenih FRMCS-om</w:t>
            </w:r>
          </w:p>
        </w:tc>
        <w:tc>
          <w:tcPr>
            <w:tcW w:w="1020" w:type="dxa"/>
          </w:tcPr>
          <w:p w:rsidR="00895DD6" w:rsidRDefault="00F31687">
            <w:pPr>
              <w:pStyle w:val="CellColumn"/>
              <w:jc w:val="right"/>
            </w:pPr>
            <w:r>
              <w:rPr>
                <w:rFonts w:cs="Times New Roman"/>
              </w:rPr>
              <w:t>km</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HŽI</w:t>
            </w:r>
          </w:p>
        </w:tc>
        <w:tc>
          <w:tcPr>
            <w:tcW w:w="1020" w:type="dxa"/>
          </w:tcPr>
          <w:p w:rsidR="00895DD6" w:rsidRDefault="00F31687">
            <w:pPr>
              <w:pStyle w:val="CellColumn"/>
              <w:jc w:val="right"/>
            </w:pPr>
            <w:r>
              <w:rPr>
                <w:rFonts w:cs="Times New Roman"/>
              </w:rPr>
              <w:t>0</w:t>
            </w:r>
          </w:p>
        </w:tc>
        <w:tc>
          <w:tcPr>
            <w:tcW w:w="1020" w:type="dxa"/>
          </w:tcPr>
          <w:p w:rsidR="00895DD6" w:rsidRDefault="00895DD6">
            <w:pPr>
              <w:jc w:val="left"/>
            </w:pPr>
          </w:p>
        </w:tc>
      </w:tr>
    </w:tbl>
    <w:p w:rsidR="00895DD6" w:rsidRDefault="00895DD6">
      <w:pPr>
        <w:jc w:val="left"/>
      </w:pPr>
    </w:p>
    <w:p w:rsidR="00895DD6" w:rsidRDefault="00F31687">
      <w:pPr>
        <w:pStyle w:val="Heading4"/>
      </w:pPr>
      <w:r>
        <w:lastRenderedPageBreak/>
        <w:t>T820081 NADOKNADA DIJELA TROŠKA DIZELSKOG GORIVA KOJE SE KORISTI KAO POGONSKO GORIVO U KOMERCIJALNOM PRIJEVOZU PUTNIKA</w:t>
      </w:r>
    </w:p>
    <w:tbl>
      <w:tblPr>
        <w:tblStyle w:val="StilTablice"/>
        <w:tblW w:w="10206" w:type="dxa"/>
        <w:jc w:val="center"/>
        <w:tblLook w:val="04A0" w:firstRow="1" w:lastRow="0" w:firstColumn="1" w:lastColumn="0" w:noHBand="0" w:noVBand="1"/>
      </w:tblPr>
      <w:tblGrid>
        <w:gridCol w:w="1848"/>
        <w:gridCol w:w="1976"/>
        <w:gridCol w:w="1982"/>
        <w:gridCol w:w="1976"/>
        <w:gridCol w:w="1209"/>
        <w:gridCol w:w="1215"/>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w:t>
            </w:r>
            <w:r>
              <w:rPr>
                <w:rFonts w:cs="Times New Roman"/>
              </w:rPr>
              <w:t>24.</w:t>
            </w:r>
          </w:p>
        </w:tc>
      </w:tr>
      <w:tr w:rsidR="00895DD6">
        <w:trPr>
          <w:jc w:val="center"/>
        </w:trPr>
        <w:tc>
          <w:tcPr>
            <w:tcW w:w="1632" w:type="dxa"/>
          </w:tcPr>
          <w:p w:rsidR="00895DD6" w:rsidRDefault="00F31687">
            <w:pPr>
              <w:pStyle w:val="CellColumn"/>
              <w:jc w:val="left"/>
            </w:pPr>
            <w:r>
              <w:rPr>
                <w:rFonts w:cs="Times New Roman"/>
              </w:rPr>
              <w:t>T820081-NADOKNADA DIJELA TROŠKA DIZELSKOG GORIVA KOJE SE KORISTI KAO POGONSKO GORIVO U KOMERCIJALNOM PRIJEVOZU PUTNIKA</w:t>
            </w:r>
          </w:p>
        </w:tc>
        <w:tc>
          <w:tcPr>
            <w:tcW w:w="2041" w:type="dxa"/>
          </w:tcPr>
          <w:p w:rsidR="00895DD6" w:rsidRDefault="00F31687">
            <w:pPr>
              <w:pStyle w:val="CellColumn"/>
              <w:jc w:val="right"/>
            </w:pPr>
            <w:r>
              <w:rPr>
                <w:rFonts w:cs="Times New Roman"/>
              </w:rPr>
              <w:t>8.812.212</w:t>
            </w:r>
          </w:p>
        </w:tc>
        <w:tc>
          <w:tcPr>
            <w:tcW w:w="2041" w:type="dxa"/>
          </w:tcPr>
          <w:p w:rsidR="00895DD6" w:rsidRDefault="00F31687">
            <w:pPr>
              <w:pStyle w:val="CellColumn"/>
              <w:jc w:val="right"/>
            </w:pPr>
            <w:r>
              <w:rPr>
                <w:rFonts w:cs="Times New Roman"/>
              </w:rPr>
              <w:t>10.000.000</w:t>
            </w:r>
          </w:p>
        </w:tc>
        <w:tc>
          <w:tcPr>
            <w:tcW w:w="2041" w:type="dxa"/>
          </w:tcPr>
          <w:p w:rsidR="00895DD6" w:rsidRDefault="00F31687">
            <w:pPr>
              <w:pStyle w:val="CellColumn"/>
              <w:jc w:val="right"/>
            </w:pPr>
            <w:r>
              <w:rPr>
                <w:rFonts w:cs="Times New Roman"/>
              </w:rPr>
              <w:t>8.487.145</w:t>
            </w:r>
          </w:p>
        </w:tc>
        <w:tc>
          <w:tcPr>
            <w:tcW w:w="1224" w:type="dxa"/>
          </w:tcPr>
          <w:p w:rsidR="00895DD6" w:rsidRDefault="00F31687">
            <w:pPr>
              <w:pStyle w:val="CellColumn"/>
              <w:jc w:val="right"/>
            </w:pPr>
            <w:r>
              <w:rPr>
                <w:rFonts w:cs="Times New Roman"/>
              </w:rPr>
              <w:t>84,9</w:t>
            </w:r>
          </w:p>
        </w:tc>
        <w:tc>
          <w:tcPr>
            <w:tcW w:w="1224" w:type="dxa"/>
          </w:tcPr>
          <w:p w:rsidR="00895DD6" w:rsidRDefault="00F31687">
            <w:pPr>
              <w:pStyle w:val="CellColumn"/>
              <w:jc w:val="right"/>
            </w:pPr>
            <w:r>
              <w:rPr>
                <w:rFonts w:cs="Times New Roman"/>
              </w:rPr>
              <w:t>96,3</w:t>
            </w:r>
          </w:p>
        </w:tc>
      </w:tr>
    </w:tbl>
    <w:p w:rsidR="00895DD6" w:rsidRDefault="00895DD6">
      <w:pPr>
        <w:jc w:val="left"/>
      </w:pPr>
    </w:p>
    <w:p w:rsidR="00895DD6" w:rsidRDefault="00F31687">
      <w:pPr>
        <w:pStyle w:val="Heading8"/>
        <w:jc w:val="left"/>
      </w:pPr>
      <w:r>
        <w:t>Zakonske i druge pravne osnove</w:t>
      </w:r>
    </w:p>
    <w:p w:rsidR="00895DD6" w:rsidRDefault="00F31687">
      <w:r>
        <w:t xml:space="preserve">- Pravilnik o ostvarivanju prava na povrat dijela plaćene trošarine za dizelsko gorivo u komercijalnom prijevozu robe i putnika  </w:t>
      </w:r>
    </w:p>
    <w:p w:rsidR="00895DD6" w:rsidRDefault="00F31687">
      <w:r>
        <w:t>- Uredba o nadoknadi dijela troška dizelskog goriva koje se koristi kao pogonsko gorivo u komercijalnom cestovnom prijevozu putnika</w:t>
      </w:r>
    </w:p>
    <w:p w:rsidR="00895DD6" w:rsidRDefault="00F31687">
      <w:pPr>
        <w:pStyle w:val="Heading8"/>
        <w:jc w:val="left"/>
      </w:pPr>
      <w:r>
        <w:t>Opis aktivnosti</w:t>
      </w:r>
    </w:p>
    <w:p w:rsidR="00895DD6" w:rsidRDefault="00F31687">
      <w:r>
        <w:t>S ciljem podrške i pomoći prijevoznicima u očuvanju stabilnosti komercijalnog cestovnog prijevoza putnika, n</w:t>
      </w:r>
      <w:r>
        <w:t>adoknađuje se dio troškova dizelskog goriva koje se koristi kao pogonsko gorivo u komercijalnom cestovnom prijevozu putnika. Pravo na nadoknadu imaju osobe koje obavljaju komercijalni cestovni prijevoz putnika koje su, temeljem odredbi Pravilnika o ostvari</w:t>
      </w:r>
      <w:r>
        <w:t xml:space="preserve">vanju prava na povrat dijela plaćene trošarine za dizelsko gorivo u komercijalnom prijevozu robe i putnika i rješenjem Ministarstva financija – Carinske uprave, ostvarile pravo na povrat dijela trošarine, a podatak o broju litara, za koje je tim rješenjem </w:t>
      </w:r>
      <w:r>
        <w:t>utvrđeno pravo povrata trošarine, smatra se temeljem za obračun i isplatu nadoknade dijela troška dizelskog goriva za razdoblje od 1. travnja 2025. do 31. ožujka 2026. godine. Za svaki podneseni zahtjev, Ministarstvo mora, prometa i infrastrukture izdalo j</w:t>
      </w:r>
      <w:r>
        <w:t>e rješenje. Provedba ove aktivnosti je pokazala dobre rezultate, što se potvrđuje i ostvarenom većom vrijednosti količine litara subvencioniranog dizelskog goriva.</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Količina subvencioniranog dizelskog goriva koje se koristi kao pogonsko gorivo u komercijalnom cestovnom prijevozu putnika</w:t>
            </w:r>
          </w:p>
        </w:tc>
        <w:tc>
          <w:tcPr>
            <w:tcW w:w="2551" w:type="dxa"/>
          </w:tcPr>
          <w:p w:rsidR="00895DD6" w:rsidRDefault="00F31687">
            <w:pPr>
              <w:pStyle w:val="CellColumn"/>
              <w:jc w:val="left"/>
            </w:pPr>
            <w:r>
              <w:rPr>
                <w:rFonts w:cs="Times New Roman"/>
              </w:rPr>
              <w:t>Nadoknada osobama koje obavljaju komercijalni cestovni prijev</w:t>
            </w:r>
            <w:r>
              <w:rPr>
                <w:rFonts w:cs="Times New Roman"/>
              </w:rPr>
              <w:t>oz putnika</w:t>
            </w:r>
          </w:p>
        </w:tc>
        <w:tc>
          <w:tcPr>
            <w:tcW w:w="1020" w:type="dxa"/>
          </w:tcPr>
          <w:p w:rsidR="00895DD6" w:rsidRDefault="00F31687">
            <w:pPr>
              <w:pStyle w:val="CellColumn"/>
              <w:jc w:val="right"/>
            </w:pPr>
            <w:r>
              <w:rPr>
                <w:rFonts w:cs="Times New Roman"/>
              </w:rPr>
              <w:t xml:space="preserve">broj </w:t>
            </w:r>
          </w:p>
          <w:p w:rsidR="00895DD6" w:rsidRDefault="00F31687">
            <w:pPr>
              <w:pStyle w:val="CellColumn"/>
              <w:jc w:val="right"/>
            </w:pPr>
            <w:r>
              <w:rPr>
                <w:rFonts w:cs="Times New Roman"/>
              </w:rPr>
              <w:t>litara</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Ministarst vo mora, prometa i infrastruk ture</w:t>
            </w:r>
          </w:p>
        </w:tc>
        <w:tc>
          <w:tcPr>
            <w:tcW w:w="1020" w:type="dxa"/>
          </w:tcPr>
          <w:p w:rsidR="00895DD6" w:rsidRDefault="00F31687">
            <w:pPr>
              <w:pStyle w:val="CellColumn"/>
              <w:jc w:val="right"/>
            </w:pPr>
            <w:r>
              <w:rPr>
                <w:rFonts w:cs="Times New Roman"/>
              </w:rPr>
              <w:t>32.000.000</w:t>
            </w:r>
          </w:p>
        </w:tc>
        <w:tc>
          <w:tcPr>
            <w:tcW w:w="1020" w:type="dxa"/>
          </w:tcPr>
          <w:p w:rsidR="00895DD6" w:rsidRDefault="00F31687">
            <w:pPr>
              <w:pStyle w:val="CellColumn"/>
              <w:jc w:val="right"/>
            </w:pPr>
            <w:r>
              <w:rPr>
                <w:rFonts w:cs="Times New Roman"/>
              </w:rPr>
              <w:t>53.044.656</w:t>
            </w:r>
          </w:p>
        </w:tc>
      </w:tr>
    </w:tbl>
    <w:p w:rsidR="00895DD6" w:rsidRDefault="00895DD6">
      <w:pPr>
        <w:jc w:val="left"/>
      </w:pPr>
    </w:p>
    <w:p w:rsidR="00895DD6" w:rsidRDefault="00F31687">
      <w:pPr>
        <w:pStyle w:val="Heading4"/>
      </w:pPr>
      <w:r>
        <w:lastRenderedPageBreak/>
        <w:t>T821079 PROMICANJE ŽELJEZNIČKOG PROMETA KROZ POLITIKU ODRŽIVOG PRIJEVOZA I RAZVOJA - "CULTURE ON RAILS TOWARDS GREEN FUTURE"</w:t>
      </w:r>
    </w:p>
    <w:tbl>
      <w:tblPr>
        <w:tblStyle w:val="StilTablice"/>
        <w:tblW w:w="10206" w:type="dxa"/>
        <w:jc w:val="center"/>
        <w:tblLook w:val="04A0" w:firstRow="1" w:lastRow="0" w:firstColumn="1" w:lastColumn="0" w:noHBand="0" w:noVBand="1"/>
      </w:tblPr>
      <w:tblGrid>
        <w:gridCol w:w="1632"/>
        <w:gridCol w:w="2042"/>
        <w:gridCol w:w="2042"/>
        <w:gridCol w:w="2042"/>
        <w:gridCol w:w="1224"/>
        <w:gridCol w:w="1224"/>
      </w:tblGrid>
      <w:tr w:rsidR="00895DD6">
        <w:trPr>
          <w:jc w:val="center"/>
        </w:trPr>
        <w:tc>
          <w:tcPr>
            <w:tcW w:w="1632" w:type="dxa"/>
            <w:shd w:val="clear" w:color="auto" w:fill="B5C0D8"/>
          </w:tcPr>
          <w:p w:rsidR="00895DD6" w:rsidRDefault="00F31687">
            <w:pPr>
              <w:pStyle w:val="CellHeader"/>
              <w:jc w:val="center"/>
            </w:pPr>
            <w:r>
              <w:rPr>
                <w:rFonts w:cs="Times New Roman"/>
              </w:rPr>
              <w:t>Naziv aktivnosti</w:t>
            </w:r>
          </w:p>
        </w:tc>
        <w:tc>
          <w:tcPr>
            <w:tcW w:w="2041" w:type="dxa"/>
            <w:shd w:val="clear" w:color="auto" w:fill="B5C0D8"/>
          </w:tcPr>
          <w:p w:rsidR="00895DD6" w:rsidRDefault="00F31687">
            <w:pPr>
              <w:pStyle w:val="CellHeader"/>
              <w:jc w:val="center"/>
            </w:pPr>
            <w:r>
              <w:rPr>
                <w:rFonts w:cs="Times New Roman"/>
              </w:rPr>
              <w:t>Izvršenje 2024. (eur)</w:t>
            </w:r>
          </w:p>
        </w:tc>
        <w:tc>
          <w:tcPr>
            <w:tcW w:w="2041" w:type="dxa"/>
            <w:shd w:val="clear" w:color="auto" w:fill="B5C0D8"/>
          </w:tcPr>
          <w:p w:rsidR="00895DD6" w:rsidRDefault="00F31687">
            <w:pPr>
              <w:pStyle w:val="CellHeader"/>
              <w:jc w:val="center"/>
            </w:pPr>
            <w:r>
              <w:rPr>
                <w:rFonts w:cs="Times New Roman"/>
              </w:rPr>
              <w:t>Plan 2025. (eur)</w:t>
            </w:r>
          </w:p>
        </w:tc>
        <w:tc>
          <w:tcPr>
            <w:tcW w:w="2041" w:type="dxa"/>
            <w:shd w:val="clear" w:color="auto" w:fill="B5C0D8"/>
          </w:tcPr>
          <w:p w:rsidR="00895DD6" w:rsidRDefault="00F31687">
            <w:pPr>
              <w:pStyle w:val="CellHeader"/>
              <w:jc w:val="center"/>
            </w:pPr>
            <w:r>
              <w:rPr>
                <w:rFonts w:cs="Times New Roman"/>
              </w:rPr>
              <w:t>Izvršenje 2025. (eur)</w:t>
            </w:r>
          </w:p>
        </w:tc>
        <w:tc>
          <w:tcPr>
            <w:tcW w:w="1224" w:type="dxa"/>
            <w:shd w:val="clear" w:color="auto" w:fill="B5C0D8"/>
          </w:tcPr>
          <w:p w:rsidR="00895DD6" w:rsidRDefault="00F31687">
            <w:pPr>
              <w:pStyle w:val="CellHeader"/>
              <w:jc w:val="center"/>
            </w:pPr>
            <w:r>
              <w:rPr>
                <w:rFonts w:cs="Times New Roman"/>
              </w:rPr>
              <w:t>Indeks izvršenje 2025./plan 2025.</w:t>
            </w:r>
          </w:p>
        </w:tc>
        <w:tc>
          <w:tcPr>
            <w:tcW w:w="1224" w:type="dxa"/>
            <w:shd w:val="clear" w:color="auto" w:fill="B5C0D8"/>
          </w:tcPr>
          <w:p w:rsidR="00895DD6" w:rsidRDefault="00F31687">
            <w:pPr>
              <w:pStyle w:val="CellHeader"/>
              <w:jc w:val="center"/>
            </w:pPr>
            <w:r>
              <w:rPr>
                <w:rFonts w:cs="Times New Roman"/>
              </w:rPr>
              <w:t>Indeks izvršenje 2025./2024.</w:t>
            </w:r>
          </w:p>
        </w:tc>
      </w:tr>
      <w:tr w:rsidR="00895DD6">
        <w:trPr>
          <w:jc w:val="center"/>
        </w:trPr>
        <w:tc>
          <w:tcPr>
            <w:tcW w:w="1632" w:type="dxa"/>
          </w:tcPr>
          <w:p w:rsidR="00895DD6" w:rsidRDefault="00F31687">
            <w:pPr>
              <w:pStyle w:val="CellColumn"/>
              <w:jc w:val="left"/>
            </w:pPr>
            <w:r>
              <w:rPr>
                <w:rFonts w:cs="Times New Roman"/>
              </w:rPr>
              <w:t>T821079-PROMICANJE ŽELJEZNIČKOG PROMETA KROZ POLITIKU ODRŽIVOG PRIJEVOZA I RAZVOJA - "CULTURE ON RAILS TOWARDS GREEN FUTURE"</w:t>
            </w:r>
          </w:p>
        </w:tc>
        <w:tc>
          <w:tcPr>
            <w:tcW w:w="2041" w:type="dxa"/>
          </w:tcPr>
          <w:p w:rsidR="00895DD6" w:rsidRDefault="00F31687">
            <w:pPr>
              <w:pStyle w:val="CellColumn"/>
              <w:jc w:val="right"/>
            </w:pPr>
            <w:r>
              <w:rPr>
                <w:rFonts w:cs="Times New Roman"/>
              </w:rPr>
              <w:t>00</w:t>
            </w:r>
          </w:p>
        </w:tc>
        <w:tc>
          <w:tcPr>
            <w:tcW w:w="2041" w:type="dxa"/>
          </w:tcPr>
          <w:p w:rsidR="00895DD6" w:rsidRDefault="00F31687">
            <w:pPr>
              <w:pStyle w:val="CellColumn"/>
              <w:jc w:val="right"/>
            </w:pPr>
            <w:r>
              <w:rPr>
                <w:rFonts w:cs="Times New Roman"/>
              </w:rPr>
              <w:t>34.017</w:t>
            </w:r>
          </w:p>
        </w:tc>
        <w:tc>
          <w:tcPr>
            <w:tcW w:w="2041" w:type="dxa"/>
          </w:tcPr>
          <w:p w:rsidR="00895DD6" w:rsidRDefault="00F31687">
            <w:pPr>
              <w:pStyle w:val="CellColumn"/>
              <w:jc w:val="right"/>
            </w:pPr>
            <w:r>
              <w:rPr>
                <w:rFonts w:cs="Times New Roman"/>
              </w:rPr>
              <w:t>00</w:t>
            </w:r>
          </w:p>
        </w:tc>
        <w:tc>
          <w:tcPr>
            <w:tcW w:w="1224" w:type="dxa"/>
          </w:tcPr>
          <w:p w:rsidR="00895DD6" w:rsidRDefault="00F31687">
            <w:pPr>
              <w:pStyle w:val="CellColumn"/>
              <w:jc w:val="right"/>
            </w:pPr>
            <w:r>
              <w:rPr>
                <w:rFonts w:cs="Times New Roman"/>
              </w:rPr>
              <w:t>0,0</w:t>
            </w:r>
          </w:p>
        </w:tc>
        <w:tc>
          <w:tcPr>
            <w:tcW w:w="1224" w:type="dxa"/>
          </w:tcPr>
          <w:p w:rsidR="00895DD6" w:rsidRDefault="00F31687">
            <w:pPr>
              <w:pStyle w:val="CellColumn"/>
              <w:jc w:val="right"/>
            </w:pPr>
            <w:r>
              <w:rPr>
                <w:rFonts w:cs="Times New Roman"/>
              </w:rPr>
              <w:t>0,0</w:t>
            </w:r>
          </w:p>
        </w:tc>
      </w:tr>
    </w:tbl>
    <w:p w:rsidR="00895DD6" w:rsidRDefault="00895DD6">
      <w:pPr>
        <w:jc w:val="left"/>
      </w:pPr>
    </w:p>
    <w:p w:rsidR="00895DD6" w:rsidRDefault="00F31687">
      <w:pPr>
        <w:pStyle w:val="Heading8"/>
        <w:jc w:val="left"/>
      </w:pPr>
      <w:r>
        <w:t>Zakonske i druge pravne osnove</w:t>
      </w:r>
    </w:p>
    <w:p w:rsidR="00895DD6" w:rsidRDefault="00F31687">
      <w:r>
        <w:t xml:space="preserve">- Zakon o željeznici   </w:t>
      </w:r>
    </w:p>
    <w:p w:rsidR="00895DD6" w:rsidRDefault="00F31687">
      <w:r>
        <w:t xml:space="preserve">- Strategija prometnog razvoja Republike Hrvatske za razdoblje od 2017. do 2030. godine   </w:t>
      </w:r>
    </w:p>
    <w:p w:rsidR="00895DD6" w:rsidRDefault="00F31687">
      <w:r>
        <w:t xml:space="preserve">- Nacionalni program željezničke infrastrukture za razdoblje od 2016. do 2020. godine    </w:t>
      </w:r>
    </w:p>
    <w:p w:rsidR="00895DD6" w:rsidRDefault="00F31687">
      <w:r>
        <w:t xml:space="preserve">- Konsolidirana verzija Ugovora o Europskoj uniji i Ugovora o funkcioniranju Europske unije (čl. 73)  </w:t>
      </w:r>
    </w:p>
    <w:p w:rsidR="00895DD6" w:rsidRDefault="00F31687">
      <w:r>
        <w:t>- Smjernice Zajednice o državnoj potpori za željeznička poduzeća (2008/C 184/07, str. 13.-31.)</w:t>
      </w:r>
    </w:p>
    <w:p w:rsidR="00895DD6" w:rsidRDefault="00F31687">
      <w:pPr>
        <w:pStyle w:val="Heading8"/>
        <w:jc w:val="left"/>
      </w:pPr>
      <w:r>
        <w:t>Opis aktivnosti</w:t>
      </w:r>
    </w:p>
    <w:p w:rsidR="00895DD6" w:rsidRDefault="00F31687">
      <w:r>
        <w:t>Ministarstvo mora, prometa i infrastruktur</w:t>
      </w:r>
      <w:r>
        <w:t>e uvidjelo je potrebu za promicanjem prijevoza tereta na Ličkoj pruzi u narednom razdoblju  i to ispravljanjem neravnoteža između prometnih koridora kroz Republiku Hrvatsku nadoknadom dijela prihvatljivih (vanjskih) troškova i/ili troškova pristupa trasi i</w:t>
      </w:r>
      <w:r>
        <w:t xml:space="preserve">nfrastrukture. Također, navedenim se promiče i razvoj luka s ciljem povećanja udjela prekrcaja tereta, a time pomaže i razvoju gospodarstva i povećanju zaposlenosti.  </w:t>
      </w:r>
    </w:p>
    <w:p w:rsidR="00895DD6" w:rsidRDefault="00F31687">
      <w:r>
        <w:t>U smislu tehničkih karakteristika i operativne fleksibilnosti, predmetna dionica ima odr</w:t>
      </w:r>
      <w:r>
        <w:t xml:space="preserve">eđene bitne nedostatke u odnosu na ostale koridore, te je željeznički prijevoznici slabo koriste. Međutim, istovremeno nudi mogućnost neophodnog povezivanja središnje i južne Hrvatske.  </w:t>
      </w:r>
    </w:p>
    <w:p w:rsidR="00895DD6" w:rsidRDefault="00F31687">
      <w:r>
        <w:t>Subvencija se je planirala temeljiti na odredbama strateških razvojni</w:t>
      </w:r>
      <w:r>
        <w:t>h dokumenata s područja prometa, i to: Bijela knjiga o jedinstvenom europskom prometnom području 2011., Nacionalna razvojna strategija do 2030. u kojoj je u okviru strateškog cilja 10. Održiva mobilnost utvrđena kao prioritet provedbe na području željeznič</w:t>
      </w:r>
      <w:r>
        <w:t xml:space="preserve">kog prometa, između ostalog, promicanje prijevoza tereta željeznicom i drugim oblicima prijevoza s manjom emisijom stakleničkih plinova, Strategija prometnog razvoja Republike Hrvatske za razdoblje od 2017. do 2030. godine, Strategija razvoja željezničkog </w:t>
      </w:r>
      <w:r>
        <w:t>sustava Republike Hrvatske do 2032. godine, kao i na lokalnim i regionalnim planskim dokumentima. Strateško planiranje kao temelj razvoja prometnog sektora definirano je kao sredstvo u službi viših ciljeva gospodarske i socijalne politike. Kao rezultat nav</w:t>
      </w:r>
      <w:r>
        <w:t xml:space="preserve">edenog, promet se u smislu strateškog planiranja smatra osnovnim sustavom kojim će se zadovoljiti potrebe prijevoza tereta te u isto vrijeme učinkovitim i značajnim sredstvom za promicanje gospodarskog razvoja.  Prioriteti u području prijevoza tereta koji </w:t>
      </w:r>
      <w:r>
        <w:t xml:space="preserve">su utvrđeni i prepoznati u navedenim dokumentima naročito se odnose na sljedeće:  </w:t>
      </w:r>
    </w:p>
    <w:p w:rsidR="00895DD6" w:rsidRDefault="00F31687">
      <w:r>
        <w:t>1.</w:t>
      </w:r>
      <w:r>
        <w:tab/>
        <w:t>unapređenje pristupačnosti u teretnom prometu unutar Republike Hrvatske od pretovarnih kolodvora odnosno logističkih centara u lukama ključnih za upravljanje većim količi</w:t>
      </w:r>
      <w:r>
        <w:t xml:space="preserve">nama tereta i   </w:t>
      </w:r>
    </w:p>
    <w:p w:rsidR="00895DD6" w:rsidRDefault="00F31687">
      <w:r>
        <w:t>2.</w:t>
      </w:r>
      <w:r>
        <w:tab/>
        <w:t xml:space="preserve">smanjivanje eksternih troškova, poticanje željezničkog prijevoza tereta budući da stvara niže eksterne troškove nego drugi oblici kao što je cestovni prijevoz tereta.   </w:t>
      </w:r>
    </w:p>
    <w:p w:rsidR="00895DD6" w:rsidRDefault="00F31687">
      <w:r>
        <w:lastRenderedPageBreak/>
        <w:t>Da bi se potaknuo gospodarski razvoj toga kraja i razvoj luka koje</w:t>
      </w:r>
      <w:r>
        <w:t xml:space="preserve"> sada imaju ograničene kapacitete, neophodno je osigurati financijsku podršku države poduzetnicima koji obavljaju djelatnosti u sektoru željezničkog teretnog prijevoza, a s ciljem smanjenja troškova koji su veći od ostvarenih prihoda na ovoj dionici pruge,</w:t>
      </w:r>
      <w:r>
        <w:t xml:space="preserve"> što negativno utječe na njihovo poslovanje.  </w:t>
      </w:r>
    </w:p>
    <w:p w:rsidR="00895DD6" w:rsidRDefault="00F31687">
      <w:r>
        <w:t>Nastavno na navedeno, u 2025. godini izrađena je Metodologija izračuna potpora za ostvareni prijevoz na prugama M604 Oštarije - Knin - Split, M606 Knin - Zadar i M607 Perković – Šibenik te prijedlog Programa p</w:t>
      </w:r>
      <w:r>
        <w:t xml:space="preserve">otpora za prijevoz tereta navedenim prugama, no s obzirom da je u 2025. godini zabilježen pad ukupnog teretnog prometa željeznicom (na cijeloj mreži) od 22%, uočena je potreba poticanja željezničkog teretnog prometa na cijeloj mreži.  </w:t>
      </w:r>
    </w:p>
    <w:p w:rsidR="00895DD6" w:rsidRDefault="00F31687">
      <w:r>
        <w:t xml:space="preserve">Slijedom navedenog, </w:t>
      </w:r>
      <w:r>
        <w:t xml:space="preserve">u 2026. godini planira se izrada nove metodologije izračuna potpora za ostvareni prijevoz tereta na željezničkoj mreži u Republici Hrvatskoj, temeljem koje će se izraditi Program potpora i popratna dokumentacija koja se prije donošenja i javne objave mora </w:t>
      </w:r>
      <w:r>
        <w:t xml:space="preserve">prethodno uputiti EK na odobrenje.  </w:t>
      </w:r>
    </w:p>
    <w:p w:rsidR="00895DD6" w:rsidRDefault="00F31687">
      <w:r>
        <w:t>Obzirom da u 2025. godini nije donesen navedeni Program potpora te slijedom toga nije bilo javnih poziva za dostavu zahtjeva, u 2025. godini nije bilo isplaćenih subvencija po ovoj aktivnosti.</w:t>
      </w:r>
    </w:p>
    <w:p w:rsidR="00895DD6" w:rsidRDefault="00F31687">
      <w:pPr>
        <w:pStyle w:val="Heading8"/>
        <w:jc w:val="left"/>
      </w:pPr>
      <w:r>
        <w:t>Pokazatelji rezultata</w:t>
      </w:r>
    </w:p>
    <w:tbl>
      <w:tblPr>
        <w:tblStyle w:val="StilTablice"/>
        <w:tblW w:w="10206" w:type="dxa"/>
        <w:jc w:val="center"/>
        <w:tblLook w:val="04A0" w:firstRow="1" w:lastRow="0" w:firstColumn="1" w:lastColumn="0" w:noHBand="0" w:noVBand="1"/>
      </w:tblPr>
      <w:tblGrid>
        <w:gridCol w:w="2553"/>
        <w:gridCol w:w="2553"/>
        <w:gridCol w:w="1020"/>
        <w:gridCol w:w="1020"/>
        <w:gridCol w:w="1020"/>
        <w:gridCol w:w="1020"/>
        <w:gridCol w:w="1020"/>
      </w:tblGrid>
      <w:tr w:rsidR="00895DD6">
        <w:trPr>
          <w:jc w:val="center"/>
        </w:trPr>
        <w:tc>
          <w:tcPr>
            <w:tcW w:w="2551" w:type="dxa"/>
            <w:shd w:val="clear" w:color="auto" w:fill="B5C0D8"/>
          </w:tcPr>
          <w:p w:rsidR="00895DD6" w:rsidRDefault="00F31687">
            <w:pPr>
              <w:jc w:val="center"/>
            </w:pPr>
            <w:r>
              <w:t>Poka</w:t>
            </w:r>
            <w:r>
              <w:t>zatelj rezultata</w:t>
            </w:r>
          </w:p>
        </w:tc>
        <w:tc>
          <w:tcPr>
            <w:tcW w:w="2551" w:type="dxa"/>
            <w:shd w:val="clear" w:color="auto" w:fill="B5C0D8"/>
          </w:tcPr>
          <w:p w:rsidR="00895DD6" w:rsidRDefault="00F31687">
            <w:pPr>
              <w:pStyle w:val="CellHeader"/>
              <w:jc w:val="center"/>
            </w:pPr>
            <w:r>
              <w:rPr>
                <w:rFonts w:cs="Times New Roman"/>
              </w:rPr>
              <w:t>Definicija</w:t>
            </w:r>
          </w:p>
        </w:tc>
        <w:tc>
          <w:tcPr>
            <w:tcW w:w="1020" w:type="dxa"/>
            <w:shd w:val="clear" w:color="auto" w:fill="B5C0D8"/>
          </w:tcPr>
          <w:p w:rsidR="00895DD6" w:rsidRDefault="00F31687">
            <w:pPr>
              <w:pStyle w:val="CellHeader"/>
              <w:jc w:val="center"/>
            </w:pPr>
            <w:r>
              <w:rPr>
                <w:rFonts w:cs="Times New Roman"/>
              </w:rPr>
              <w:t>Jedinica</w:t>
            </w:r>
          </w:p>
        </w:tc>
        <w:tc>
          <w:tcPr>
            <w:tcW w:w="1020" w:type="dxa"/>
            <w:shd w:val="clear" w:color="auto" w:fill="B5C0D8"/>
          </w:tcPr>
          <w:p w:rsidR="00895DD6" w:rsidRDefault="00F31687">
            <w:pPr>
              <w:pStyle w:val="CellHeader"/>
              <w:jc w:val="center"/>
            </w:pPr>
            <w:r>
              <w:rPr>
                <w:rFonts w:cs="Times New Roman"/>
              </w:rPr>
              <w:t>Polazna vrijednost</w:t>
            </w:r>
          </w:p>
        </w:tc>
        <w:tc>
          <w:tcPr>
            <w:tcW w:w="1020" w:type="dxa"/>
            <w:shd w:val="clear" w:color="auto" w:fill="B5C0D8"/>
          </w:tcPr>
          <w:p w:rsidR="00895DD6" w:rsidRDefault="00F31687">
            <w:pPr>
              <w:pStyle w:val="CellHeader"/>
              <w:jc w:val="center"/>
            </w:pPr>
            <w:r>
              <w:rPr>
                <w:rFonts w:cs="Times New Roman"/>
              </w:rPr>
              <w:t>Izvor podataka</w:t>
            </w:r>
          </w:p>
        </w:tc>
        <w:tc>
          <w:tcPr>
            <w:tcW w:w="1020" w:type="dxa"/>
            <w:shd w:val="clear" w:color="auto" w:fill="B5C0D8"/>
          </w:tcPr>
          <w:p w:rsidR="00895DD6" w:rsidRDefault="00F31687">
            <w:pPr>
              <w:pStyle w:val="CellHeader"/>
              <w:jc w:val="center"/>
            </w:pPr>
            <w:r>
              <w:rPr>
                <w:rFonts w:cs="Times New Roman"/>
              </w:rPr>
              <w:t>Ciljana vrijednost (2025.)</w:t>
            </w:r>
          </w:p>
        </w:tc>
        <w:tc>
          <w:tcPr>
            <w:tcW w:w="1020" w:type="dxa"/>
            <w:shd w:val="clear" w:color="auto" w:fill="B5C0D8"/>
          </w:tcPr>
          <w:p w:rsidR="00895DD6" w:rsidRDefault="00F31687">
            <w:pPr>
              <w:pStyle w:val="CellHeader"/>
              <w:jc w:val="center"/>
            </w:pPr>
            <w:r>
              <w:rPr>
                <w:rFonts w:cs="Times New Roman"/>
              </w:rPr>
              <w:t>Ostvarena vrijednost (2025.)</w:t>
            </w:r>
          </w:p>
        </w:tc>
      </w:tr>
      <w:tr w:rsidR="00895DD6">
        <w:trPr>
          <w:jc w:val="center"/>
        </w:trPr>
        <w:tc>
          <w:tcPr>
            <w:tcW w:w="2551" w:type="dxa"/>
          </w:tcPr>
          <w:p w:rsidR="00895DD6" w:rsidRDefault="00F31687">
            <w:pPr>
              <w:pStyle w:val="CellColumn"/>
              <w:jc w:val="left"/>
            </w:pPr>
            <w:r>
              <w:rPr>
                <w:rFonts w:cs="Times New Roman"/>
              </w:rPr>
              <w:t>Izvršenje plana aktivnosti projekta koje će biti razrađene Grant Agreementom</w:t>
            </w:r>
          </w:p>
        </w:tc>
        <w:tc>
          <w:tcPr>
            <w:tcW w:w="2551" w:type="dxa"/>
          </w:tcPr>
          <w:p w:rsidR="00895DD6" w:rsidRDefault="00F31687">
            <w:pPr>
              <w:pStyle w:val="CellColumn"/>
              <w:jc w:val="left"/>
            </w:pPr>
            <w:r>
              <w:rPr>
                <w:rFonts w:cs="Times New Roman"/>
              </w:rPr>
              <w:t>Izvršenje 7 aktivnosti predviđene Grant Agreementom, a koje uključuju: upravljačku strukturu, komunikaciju i širenje informacija, razvoj metodologije, istraživanje i razvoj priče, rezidencije za stvaranje, obilazak i sažetak</w:t>
            </w:r>
          </w:p>
        </w:tc>
        <w:tc>
          <w:tcPr>
            <w:tcW w:w="1020" w:type="dxa"/>
          </w:tcPr>
          <w:p w:rsidR="00895DD6" w:rsidRDefault="00F31687">
            <w:pPr>
              <w:pStyle w:val="CellColumn"/>
              <w:jc w:val="right"/>
            </w:pPr>
            <w:r>
              <w:rPr>
                <w:rFonts w:cs="Times New Roman"/>
              </w:rPr>
              <w:t>broj</w:t>
            </w:r>
          </w:p>
        </w:tc>
        <w:tc>
          <w:tcPr>
            <w:tcW w:w="1020" w:type="dxa"/>
          </w:tcPr>
          <w:p w:rsidR="00895DD6" w:rsidRDefault="00F31687">
            <w:pPr>
              <w:pStyle w:val="CellColumn"/>
              <w:jc w:val="right"/>
            </w:pPr>
            <w:r>
              <w:rPr>
                <w:rFonts w:cs="Times New Roman"/>
              </w:rPr>
              <w:t>0</w:t>
            </w:r>
          </w:p>
        </w:tc>
        <w:tc>
          <w:tcPr>
            <w:tcW w:w="1020" w:type="dxa"/>
          </w:tcPr>
          <w:p w:rsidR="00895DD6" w:rsidRDefault="00F31687">
            <w:pPr>
              <w:pStyle w:val="CellColumn"/>
              <w:jc w:val="right"/>
            </w:pPr>
            <w:r>
              <w:rPr>
                <w:rFonts w:cs="Times New Roman"/>
              </w:rPr>
              <w:t>MMPI</w:t>
            </w:r>
          </w:p>
        </w:tc>
        <w:tc>
          <w:tcPr>
            <w:tcW w:w="1020" w:type="dxa"/>
          </w:tcPr>
          <w:p w:rsidR="00895DD6" w:rsidRDefault="00F31687">
            <w:pPr>
              <w:pStyle w:val="CellColumn"/>
              <w:jc w:val="right"/>
            </w:pPr>
            <w:r>
              <w:rPr>
                <w:rFonts w:cs="Times New Roman"/>
              </w:rPr>
              <w:t>1</w:t>
            </w:r>
          </w:p>
        </w:tc>
        <w:tc>
          <w:tcPr>
            <w:tcW w:w="1020" w:type="dxa"/>
          </w:tcPr>
          <w:p w:rsidR="00895DD6" w:rsidRDefault="00F31687">
            <w:pPr>
              <w:pStyle w:val="CellColumn"/>
              <w:jc w:val="right"/>
            </w:pPr>
            <w:r>
              <w:rPr>
                <w:rFonts w:cs="Times New Roman"/>
              </w:rPr>
              <w:t>0</w:t>
            </w:r>
          </w:p>
        </w:tc>
      </w:tr>
    </w:tbl>
    <w:p w:rsidR="00895DD6" w:rsidRDefault="00895DD6">
      <w:pPr>
        <w:jc w:val="left"/>
      </w:pPr>
    </w:p>
    <w:sectPr w:rsidR="00895DD6" w:rsidSect="00F91724">
      <w:headerReference w:type="default" r:id="rId7"/>
      <w:footerReference w:type="default" r:id="rId8"/>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E45" w:rsidRDefault="007A7E45" w:rsidP="00F352E6">
      <w:r>
        <w:separator/>
      </w:r>
    </w:p>
  </w:endnote>
  <w:endnote w:type="continuationSeparator" w:id="0">
    <w:p w:rsidR="007A7E45" w:rsidRDefault="007A7E45" w:rsidP="00F3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98" w:rsidRPr="00D769ED" w:rsidRDefault="00F31687" w:rsidP="007D4430">
    <w:pPr>
      <w:pStyle w:val="Footer"/>
      <w:pBdr>
        <w:top w:val="none" w:sz="0" w:space="0"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E45" w:rsidRDefault="007A7E45" w:rsidP="00F352E6">
      <w:r>
        <w:separator/>
      </w:r>
    </w:p>
  </w:footnote>
  <w:footnote w:type="continuationSeparator" w:id="0">
    <w:p w:rsidR="007A7E45" w:rsidRDefault="007A7E45" w:rsidP="00F35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98" w:rsidRDefault="00F31687" w:rsidP="00A70582">
    <w:pPr>
      <w:pStyle w:val="Header"/>
      <w:pBdr>
        <w:bottom w:val="none" w:sz="0" w:space="0" w:color="auto"/>
      </w:pBdr>
      <w:tabs>
        <w:tab w:val="clear" w:pos="9072"/>
        <w:tab w:val="right" w:pos="9540"/>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C76"/>
    <w:rsid w:val="00013A1A"/>
    <w:rsid w:val="0002533C"/>
    <w:rsid w:val="000352D6"/>
    <w:rsid w:val="000C0A6C"/>
    <w:rsid w:val="0010779D"/>
    <w:rsid w:val="0013155A"/>
    <w:rsid w:val="0017490A"/>
    <w:rsid w:val="001E5246"/>
    <w:rsid w:val="0027042C"/>
    <w:rsid w:val="00311AA1"/>
    <w:rsid w:val="00382225"/>
    <w:rsid w:val="00386953"/>
    <w:rsid w:val="00463609"/>
    <w:rsid w:val="00480C76"/>
    <w:rsid w:val="004C01B5"/>
    <w:rsid w:val="0052289C"/>
    <w:rsid w:val="00524A66"/>
    <w:rsid w:val="00526A7C"/>
    <w:rsid w:val="005A70C0"/>
    <w:rsid w:val="005B6ED7"/>
    <w:rsid w:val="005E2D85"/>
    <w:rsid w:val="00633683"/>
    <w:rsid w:val="00674346"/>
    <w:rsid w:val="006B3283"/>
    <w:rsid w:val="007665AA"/>
    <w:rsid w:val="007A7E45"/>
    <w:rsid w:val="007D1C46"/>
    <w:rsid w:val="007D395B"/>
    <w:rsid w:val="007D4430"/>
    <w:rsid w:val="00847495"/>
    <w:rsid w:val="008636E2"/>
    <w:rsid w:val="00895DD6"/>
    <w:rsid w:val="008A7E2A"/>
    <w:rsid w:val="009359F2"/>
    <w:rsid w:val="0094382E"/>
    <w:rsid w:val="00951B1A"/>
    <w:rsid w:val="009E33D3"/>
    <w:rsid w:val="00A021A2"/>
    <w:rsid w:val="00A320E5"/>
    <w:rsid w:val="00A70582"/>
    <w:rsid w:val="00AB5FEA"/>
    <w:rsid w:val="00AB7B4E"/>
    <w:rsid w:val="00B15946"/>
    <w:rsid w:val="00B2737F"/>
    <w:rsid w:val="00B31E2E"/>
    <w:rsid w:val="00B41BF8"/>
    <w:rsid w:val="00BA487B"/>
    <w:rsid w:val="00BA7BD1"/>
    <w:rsid w:val="00BB642B"/>
    <w:rsid w:val="00BF02E9"/>
    <w:rsid w:val="00BF3F24"/>
    <w:rsid w:val="00C7470A"/>
    <w:rsid w:val="00DE2416"/>
    <w:rsid w:val="00E42E87"/>
    <w:rsid w:val="00E62EF0"/>
    <w:rsid w:val="00ED0E3A"/>
    <w:rsid w:val="00F31687"/>
    <w:rsid w:val="00F352E6"/>
    <w:rsid w:val="00F67315"/>
    <w:rsid w:val="00F91724"/>
    <w:rsid w:val="00F92AEE"/>
    <w:rsid w:val="00FE4B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8B5D75BC-09A8-4A24-AF6B-EA091288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FEA"/>
    <w:p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lang w:val="sl-SI"/>
    </w:rPr>
  </w:style>
  <w:style w:type="paragraph" w:styleId="Heading1">
    <w:name w:val="heading 1"/>
    <w:basedOn w:val="Normal"/>
    <w:next w:val="Normal"/>
    <w:link w:val="Heading1Char"/>
    <w:qFormat/>
    <w:rsid w:val="00951B1A"/>
    <w:pPr>
      <w:keepNext/>
      <w:keepLines/>
      <w:pBdr>
        <w:top w:val="single" w:sz="4" w:space="1" w:color="auto"/>
        <w:bottom w:val="single" w:sz="4" w:space="1" w:color="auto"/>
      </w:pBdr>
      <w:shd w:val="clear" w:color="auto" w:fill="E6E6E6"/>
      <w:jc w:val="left"/>
      <w:outlineLvl w:val="0"/>
    </w:pPr>
    <w:rPr>
      <w:b/>
      <w:spacing w:val="20"/>
      <w:sz w:val="32"/>
      <w:szCs w:val="32"/>
    </w:rPr>
  </w:style>
  <w:style w:type="paragraph" w:styleId="Heading2">
    <w:name w:val="heading 2"/>
    <w:basedOn w:val="Normal"/>
    <w:next w:val="Normal"/>
    <w:link w:val="Heading2Char"/>
    <w:qFormat/>
    <w:rsid w:val="00E62EF0"/>
    <w:pPr>
      <w:keepNext/>
      <w:keepLines/>
      <w:pBdr>
        <w:top w:val="single" w:sz="4" w:space="1" w:color="auto"/>
        <w:bottom w:val="single" w:sz="4" w:space="1" w:color="auto"/>
      </w:pBdr>
      <w:shd w:val="clear" w:color="auto" w:fill="E6E6E6"/>
      <w:jc w:val="left"/>
      <w:outlineLvl w:val="1"/>
    </w:pPr>
    <w:rPr>
      <w:b/>
      <w:spacing w:val="20"/>
      <w:sz w:val="30"/>
      <w:szCs w:val="30"/>
    </w:rPr>
  </w:style>
  <w:style w:type="paragraph" w:styleId="Heading3">
    <w:name w:val="heading 3"/>
    <w:basedOn w:val="Normal"/>
    <w:next w:val="Normal"/>
    <w:link w:val="Heading3Char"/>
    <w:qFormat/>
    <w:rsid w:val="00FE4B89"/>
    <w:pPr>
      <w:keepNext/>
      <w:keepLines/>
      <w:pBdr>
        <w:top w:val="single" w:sz="4" w:space="1" w:color="auto"/>
        <w:bottom w:val="single" w:sz="4" w:space="1" w:color="auto"/>
      </w:pBdr>
      <w:shd w:val="clear" w:color="auto" w:fill="E6E6E6"/>
      <w:overflowPunct/>
      <w:autoSpaceDE/>
      <w:autoSpaceDN/>
      <w:adjustRightInd/>
      <w:spacing w:line="288" w:lineRule="auto"/>
      <w:jc w:val="left"/>
      <w:textAlignment w:val="auto"/>
      <w:outlineLvl w:val="2"/>
    </w:pPr>
    <w:rPr>
      <w:rFonts w:cs="Arial"/>
      <w:b/>
      <w:iCs/>
      <w:spacing w:val="20"/>
      <w:sz w:val="28"/>
      <w:szCs w:val="28"/>
    </w:rPr>
  </w:style>
  <w:style w:type="paragraph" w:styleId="Heading4">
    <w:name w:val="heading 4"/>
    <w:basedOn w:val="Normal"/>
    <w:next w:val="Normal"/>
    <w:link w:val="Heading4Char"/>
    <w:qFormat/>
    <w:rsid w:val="00951B1A"/>
    <w:pPr>
      <w:keepNext/>
      <w:keepLines/>
      <w:pBdr>
        <w:top w:val="single" w:sz="4" w:space="1" w:color="auto"/>
        <w:bottom w:val="single" w:sz="4" w:space="1" w:color="auto"/>
      </w:pBdr>
      <w:overflowPunct/>
      <w:autoSpaceDE/>
      <w:autoSpaceDN/>
      <w:adjustRightInd/>
      <w:jc w:val="left"/>
      <w:textAlignment w:val="auto"/>
      <w:outlineLvl w:val="3"/>
    </w:pPr>
    <w:rPr>
      <w:b/>
      <w:bCs/>
      <w:sz w:val="28"/>
      <w:szCs w:val="28"/>
    </w:rPr>
  </w:style>
  <w:style w:type="paragraph" w:styleId="Heading5">
    <w:name w:val="heading 5"/>
    <w:basedOn w:val="Normal"/>
    <w:next w:val="Normal"/>
    <w:link w:val="Heading5Char"/>
    <w:qFormat/>
    <w:rsid w:val="00E62EF0"/>
    <w:pPr>
      <w:keepNext/>
      <w:keepLines/>
      <w:jc w:val="left"/>
      <w:outlineLvl w:val="4"/>
    </w:pPr>
    <w:rPr>
      <w:b/>
      <w:sz w:val="26"/>
      <w:szCs w:val="26"/>
    </w:rPr>
  </w:style>
  <w:style w:type="paragraph" w:styleId="Heading6">
    <w:name w:val="heading 6"/>
    <w:basedOn w:val="Normal"/>
    <w:next w:val="Normal"/>
    <w:link w:val="Heading6Char"/>
    <w:qFormat/>
    <w:rsid w:val="00E62EF0"/>
    <w:pPr>
      <w:keepNext/>
      <w:keepLines/>
      <w:jc w:val="left"/>
      <w:outlineLvl w:val="5"/>
    </w:pPr>
    <w:rPr>
      <w:b/>
      <w:sz w:val="24"/>
      <w:szCs w:val="24"/>
    </w:rPr>
  </w:style>
  <w:style w:type="paragraph" w:styleId="Heading7">
    <w:name w:val="heading 7"/>
    <w:basedOn w:val="Normal"/>
    <w:next w:val="Normal"/>
    <w:link w:val="Heading7Char"/>
    <w:qFormat/>
    <w:rsid w:val="00E62EF0"/>
    <w:pPr>
      <w:keepNext/>
      <w:jc w:val="left"/>
      <w:outlineLvl w:val="6"/>
    </w:pPr>
    <w:rPr>
      <w:b/>
      <w:spacing w:val="24"/>
      <w:szCs w:val="22"/>
    </w:rPr>
  </w:style>
  <w:style w:type="paragraph" w:styleId="Heading8">
    <w:name w:val="heading 8"/>
    <w:basedOn w:val="Normal6"/>
    <w:next w:val="Normal"/>
    <w:link w:val="Heading8Char"/>
    <w:uiPriority w:val="9"/>
    <w:unhideWhenUsed/>
    <w:qFormat/>
    <w:rsid w:val="00E62EF0"/>
    <w:pPr>
      <w:keepNext/>
      <w:keepLines/>
      <w:ind w:left="0"/>
      <w:outlineLvl w:val="7"/>
    </w:pPr>
    <w:rPr>
      <w:b/>
    </w:rPr>
  </w:style>
  <w:style w:type="paragraph" w:styleId="Heading9">
    <w:name w:val="heading 9"/>
    <w:basedOn w:val="Normal"/>
    <w:next w:val="Normal"/>
    <w:link w:val="Heading9Char"/>
    <w:uiPriority w:val="9"/>
    <w:unhideWhenUsed/>
    <w:qFormat/>
    <w:rsid w:val="00E62EF0"/>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B1A"/>
    <w:rPr>
      <w:rFonts w:ascii="Times New Roman" w:eastAsia="Times New Roman" w:hAnsi="Times New Roman" w:cs="Times New Roman"/>
      <w:b/>
      <w:spacing w:val="20"/>
      <w:sz w:val="32"/>
      <w:szCs w:val="32"/>
      <w:shd w:val="clear" w:color="auto" w:fill="E6E6E6"/>
      <w:lang w:val="sl-SI"/>
    </w:rPr>
  </w:style>
  <w:style w:type="character" w:customStyle="1" w:styleId="Heading2Char">
    <w:name w:val="Heading 2 Char"/>
    <w:basedOn w:val="DefaultParagraphFont"/>
    <w:link w:val="Heading2"/>
    <w:rsid w:val="00E62EF0"/>
    <w:rPr>
      <w:rFonts w:ascii="Times New Roman" w:eastAsia="Times New Roman" w:hAnsi="Times New Roman" w:cs="Times New Roman"/>
      <w:b/>
      <w:spacing w:val="20"/>
      <w:sz w:val="30"/>
      <w:szCs w:val="30"/>
      <w:shd w:val="clear" w:color="auto" w:fill="E6E6E6"/>
      <w:lang w:val="sl-SI"/>
    </w:rPr>
  </w:style>
  <w:style w:type="character" w:customStyle="1" w:styleId="Heading3Char">
    <w:name w:val="Heading 3 Char"/>
    <w:basedOn w:val="DefaultParagraphFont"/>
    <w:link w:val="Heading3"/>
    <w:rsid w:val="00FE4B89"/>
    <w:rPr>
      <w:rFonts w:ascii="Times New Roman" w:eastAsia="Times New Roman" w:hAnsi="Times New Roman" w:cs="Arial"/>
      <w:b/>
      <w:iCs/>
      <w:spacing w:val="20"/>
      <w:sz w:val="28"/>
      <w:szCs w:val="28"/>
      <w:shd w:val="clear" w:color="auto" w:fill="E6E6E6"/>
      <w:lang w:val="sl-SI"/>
    </w:rPr>
  </w:style>
  <w:style w:type="character" w:customStyle="1" w:styleId="Heading4Char">
    <w:name w:val="Heading 4 Char"/>
    <w:basedOn w:val="DefaultParagraphFont"/>
    <w:link w:val="Heading4"/>
    <w:rsid w:val="00951B1A"/>
    <w:rPr>
      <w:rFonts w:ascii="Times New Roman" w:eastAsia="Times New Roman" w:hAnsi="Times New Roman" w:cs="Times New Roman"/>
      <w:b/>
      <w:bCs/>
      <w:sz w:val="28"/>
      <w:szCs w:val="28"/>
      <w:lang w:val="sl-SI"/>
    </w:rPr>
  </w:style>
  <w:style w:type="character" w:customStyle="1" w:styleId="Heading5Char">
    <w:name w:val="Heading 5 Char"/>
    <w:basedOn w:val="DefaultParagraphFont"/>
    <w:link w:val="Heading5"/>
    <w:rsid w:val="00E62EF0"/>
    <w:rPr>
      <w:rFonts w:ascii="Times New Roman" w:eastAsia="Times New Roman" w:hAnsi="Times New Roman" w:cs="Times New Roman"/>
      <w:b/>
      <w:sz w:val="26"/>
      <w:szCs w:val="26"/>
      <w:lang w:val="sl-SI"/>
    </w:rPr>
  </w:style>
  <w:style w:type="character" w:customStyle="1" w:styleId="Heading6Char">
    <w:name w:val="Heading 6 Char"/>
    <w:basedOn w:val="DefaultParagraphFont"/>
    <w:link w:val="Heading6"/>
    <w:rsid w:val="00E62EF0"/>
    <w:rPr>
      <w:rFonts w:ascii="Times New Roman" w:eastAsia="Times New Roman" w:hAnsi="Times New Roman" w:cs="Times New Roman"/>
      <w:b/>
      <w:sz w:val="24"/>
      <w:szCs w:val="24"/>
      <w:lang w:val="sl-SI"/>
    </w:rPr>
  </w:style>
  <w:style w:type="character" w:customStyle="1" w:styleId="Heading7Char">
    <w:name w:val="Heading 7 Char"/>
    <w:basedOn w:val="DefaultParagraphFont"/>
    <w:link w:val="Heading7"/>
    <w:rsid w:val="00E62EF0"/>
    <w:rPr>
      <w:rFonts w:ascii="Times New Roman" w:eastAsia="Times New Roman" w:hAnsi="Times New Roman" w:cs="Times New Roman"/>
      <w:b/>
      <w:spacing w:val="24"/>
      <w:lang w:val="sl-SI"/>
    </w:rPr>
  </w:style>
  <w:style w:type="paragraph" w:customStyle="1" w:styleId="KAZALO">
    <w:name w:val="KAZALO"/>
    <w:basedOn w:val="Normal"/>
    <w:rsid w:val="00480C76"/>
    <w:pPr>
      <w:keepNext/>
      <w:spacing w:after="240"/>
      <w:jc w:val="center"/>
    </w:pPr>
    <w:rPr>
      <w:b/>
      <w:bCs/>
      <w:sz w:val="32"/>
      <w:szCs w:val="32"/>
    </w:rPr>
  </w:style>
  <w:style w:type="paragraph" w:styleId="Header">
    <w:name w:val="header"/>
    <w:basedOn w:val="Normal"/>
    <w:link w:val="HeaderChar"/>
    <w:semiHidden/>
    <w:rsid w:val="00480C76"/>
    <w:pPr>
      <w:pBdr>
        <w:bottom w:val="single" w:sz="4" w:space="1" w:color="auto"/>
      </w:pBdr>
      <w:tabs>
        <w:tab w:val="center" w:pos="4536"/>
        <w:tab w:val="right" w:pos="9072"/>
      </w:tabs>
    </w:pPr>
    <w:rPr>
      <w:sz w:val="16"/>
    </w:rPr>
  </w:style>
  <w:style w:type="character" w:customStyle="1" w:styleId="HeaderChar">
    <w:name w:val="Header Char"/>
    <w:basedOn w:val="DefaultParagraphFont"/>
    <w:link w:val="Header"/>
    <w:semiHidden/>
    <w:rsid w:val="00480C76"/>
    <w:rPr>
      <w:rFonts w:ascii="Times New Roman" w:eastAsia="Times New Roman" w:hAnsi="Times New Roman" w:cs="Times New Roman"/>
      <w:sz w:val="16"/>
      <w:szCs w:val="20"/>
      <w:lang w:val="sl-SI"/>
    </w:rPr>
  </w:style>
  <w:style w:type="paragraph" w:styleId="Footer">
    <w:name w:val="footer"/>
    <w:basedOn w:val="Normal"/>
    <w:link w:val="FooterChar"/>
    <w:semiHidden/>
    <w:rsid w:val="00480C76"/>
    <w:pPr>
      <w:pBdr>
        <w:top w:val="single" w:sz="4" w:space="1" w:color="auto"/>
      </w:pBdr>
      <w:tabs>
        <w:tab w:val="right" w:pos="9540"/>
      </w:tabs>
      <w:ind w:right="-21"/>
      <w:jc w:val="left"/>
    </w:pPr>
    <w:rPr>
      <w:sz w:val="20"/>
    </w:rPr>
  </w:style>
  <w:style w:type="character" w:customStyle="1" w:styleId="FooterChar">
    <w:name w:val="Footer Char"/>
    <w:basedOn w:val="DefaultParagraphFont"/>
    <w:link w:val="Footer"/>
    <w:semiHidden/>
    <w:rsid w:val="00480C76"/>
    <w:rPr>
      <w:rFonts w:ascii="Times New Roman" w:eastAsia="Times New Roman" w:hAnsi="Times New Roman" w:cs="Times New Roman"/>
      <w:sz w:val="20"/>
      <w:szCs w:val="20"/>
      <w:lang w:val="sl-SI"/>
    </w:rPr>
  </w:style>
  <w:style w:type="character" w:styleId="PageNumber">
    <w:name w:val="page number"/>
    <w:basedOn w:val="DefaultParagraphFont"/>
    <w:semiHidden/>
    <w:rsid w:val="00480C76"/>
  </w:style>
  <w:style w:type="paragraph" w:customStyle="1" w:styleId="Normal3">
    <w:name w:val="Normal 3"/>
    <w:basedOn w:val="Normal"/>
    <w:link w:val="Normal3Char"/>
    <w:rsid w:val="00480C76"/>
    <w:pPr>
      <w:ind w:left="360"/>
    </w:pPr>
  </w:style>
  <w:style w:type="paragraph" w:customStyle="1" w:styleId="Normal4">
    <w:name w:val="Normal 4"/>
    <w:basedOn w:val="Normal"/>
    <w:link w:val="Normal4Char"/>
    <w:rsid w:val="00480C76"/>
    <w:pPr>
      <w:ind w:left="540"/>
    </w:pPr>
  </w:style>
  <w:style w:type="paragraph" w:customStyle="1" w:styleId="Normal5">
    <w:name w:val="Normal 5"/>
    <w:basedOn w:val="Normal"/>
    <w:link w:val="Normal5Char"/>
    <w:rsid w:val="00480C76"/>
    <w:pPr>
      <w:ind w:left="720"/>
    </w:pPr>
  </w:style>
  <w:style w:type="paragraph" w:customStyle="1" w:styleId="Normal6">
    <w:name w:val="Normal 6"/>
    <w:basedOn w:val="Normal"/>
    <w:link w:val="Normal6Char"/>
    <w:rsid w:val="00480C76"/>
    <w:pPr>
      <w:ind w:left="1080"/>
    </w:pPr>
  </w:style>
  <w:style w:type="character" w:customStyle="1" w:styleId="Normal3Char">
    <w:name w:val="Normal 3 Char"/>
    <w:basedOn w:val="DefaultParagraphFont"/>
    <w:link w:val="Normal3"/>
    <w:rsid w:val="00480C76"/>
    <w:rPr>
      <w:rFonts w:ascii="Times New Roman" w:eastAsia="Times New Roman" w:hAnsi="Times New Roman" w:cs="Times New Roman"/>
      <w:szCs w:val="20"/>
      <w:lang w:val="sl-SI"/>
    </w:rPr>
  </w:style>
  <w:style w:type="character" w:customStyle="1" w:styleId="Normal5Char">
    <w:name w:val="Normal 5 Char"/>
    <w:basedOn w:val="DefaultParagraphFont"/>
    <w:link w:val="Normal5"/>
    <w:rsid w:val="00480C76"/>
    <w:rPr>
      <w:rFonts w:ascii="Times New Roman" w:eastAsia="Times New Roman" w:hAnsi="Times New Roman" w:cs="Times New Roman"/>
      <w:szCs w:val="20"/>
      <w:lang w:val="sl-SI"/>
    </w:rPr>
  </w:style>
  <w:style w:type="character" w:customStyle="1" w:styleId="Normal4Char">
    <w:name w:val="Normal 4 Char"/>
    <w:basedOn w:val="DefaultParagraphFont"/>
    <w:link w:val="Normal4"/>
    <w:rsid w:val="00480C76"/>
    <w:rPr>
      <w:rFonts w:ascii="Times New Roman" w:eastAsia="Times New Roman" w:hAnsi="Times New Roman" w:cs="Times New Roman"/>
      <w:szCs w:val="20"/>
      <w:lang w:val="sl-SI"/>
    </w:rPr>
  </w:style>
  <w:style w:type="character" w:styleId="Emphasis">
    <w:name w:val="Emphasis"/>
    <w:basedOn w:val="DefaultParagraphFont"/>
    <w:qFormat/>
    <w:rsid w:val="00480C76"/>
    <w:rPr>
      <w:b/>
      <w:bCs/>
      <w:i w:val="0"/>
      <w:iCs w:val="0"/>
    </w:rPr>
  </w:style>
  <w:style w:type="character" w:styleId="Strong">
    <w:name w:val="Strong"/>
    <w:basedOn w:val="DefaultParagraphFont"/>
    <w:qFormat/>
    <w:rsid w:val="00480C76"/>
    <w:rPr>
      <w:b/>
      <w:bCs/>
    </w:rPr>
  </w:style>
  <w:style w:type="character" w:styleId="Hyperlink">
    <w:name w:val="Hyperlink"/>
    <w:basedOn w:val="DefaultParagraphFont"/>
    <w:rsid w:val="00480C76"/>
    <w:rPr>
      <w:color w:val="0000FF"/>
      <w:u w:val="single"/>
    </w:rPr>
  </w:style>
  <w:style w:type="table" w:styleId="TableGrid">
    <w:name w:val="Table Grid"/>
    <w:basedOn w:val="TableNormal"/>
    <w:rsid w:val="00480C7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6Char">
    <w:name w:val="Normal 6 Char"/>
    <w:basedOn w:val="DefaultParagraphFont"/>
    <w:link w:val="Normal6"/>
    <w:rsid w:val="00480C76"/>
    <w:rPr>
      <w:rFonts w:ascii="Times New Roman" w:eastAsia="Times New Roman" w:hAnsi="Times New Roman" w:cs="Times New Roman"/>
      <w:szCs w:val="20"/>
      <w:lang w:val="sl-SI"/>
    </w:rPr>
  </w:style>
  <w:style w:type="paragraph" w:customStyle="1" w:styleId="CellHeader">
    <w:name w:val="CellHeader"/>
    <w:basedOn w:val="Normal"/>
    <w:qFormat/>
    <w:rsid w:val="00BB642B"/>
    <w:rPr>
      <w:rFonts w:cs="Arial"/>
      <w:bCs/>
      <w:sz w:val="20"/>
      <w:szCs w:val="22"/>
      <w:lang w:eastAsia="hr-HR"/>
    </w:rPr>
  </w:style>
  <w:style w:type="paragraph" w:customStyle="1" w:styleId="CellColumn">
    <w:name w:val="CellColumn"/>
    <w:basedOn w:val="CellHeader"/>
    <w:qFormat/>
    <w:rsid w:val="00BB642B"/>
  </w:style>
  <w:style w:type="character" w:customStyle="1" w:styleId="Heading8Char">
    <w:name w:val="Heading 8 Char"/>
    <w:basedOn w:val="DefaultParagraphFont"/>
    <w:link w:val="Heading8"/>
    <w:uiPriority w:val="9"/>
    <w:rsid w:val="00E62EF0"/>
    <w:rPr>
      <w:rFonts w:ascii="Times New Roman" w:eastAsia="Times New Roman" w:hAnsi="Times New Roman" w:cs="Times New Roman"/>
      <w:b/>
      <w:szCs w:val="20"/>
      <w:lang w:val="sl-SI"/>
    </w:rPr>
  </w:style>
  <w:style w:type="character" w:customStyle="1" w:styleId="Heading9Char">
    <w:name w:val="Heading 9 Char"/>
    <w:basedOn w:val="DefaultParagraphFont"/>
    <w:link w:val="Heading9"/>
    <w:uiPriority w:val="9"/>
    <w:rsid w:val="00E62EF0"/>
    <w:rPr>
      <w:rFonts w:asciiTheme="majorHAnsi" w:eastAsiaTheme="majorEastAsia" w:hAnsiTheme="majorHAnsi" w:cstheme="majorBidi"/>
      <w:i/>
      <w:iCs/>
      <w:color w:val="272727" w:themeColor="text1" w:themeTint="D8"/>
      <w:sz w:val="21"/>
      <w:szCs w:val="21"/>
      <w:lang w:val="sl-SI"/>
    </w:rPr>
  </w:style>
  <w:style w:type="table" w:customStyle="1" w:styleId="Style1">
    <w:name w:val="Style1"/>
    <w:basedOn w:val="TableNormal"/>
    <w:uiPriority w:val="99"/>
    <w:rsid w:val="007A7E45"/>
    <w:pPr>
      <w:keepLines/>
      <w:spacing w:after="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tblStylePr w:type="firstRow">
      <w:pPr>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tcPr>
    </w:tblStylePr>
  </w:style>
  <w:style w:type="table" w:customStyle="1" w:styleId="StilTablice">
    <w:name w:val="StilTablice"/>
    <w:basedOn w:val="TableNormal"/>
    <w:uiPriority w:val="99"/>
    <w:rsid w:val="00ED0E3A"/>
    <w:pPr>
      <w:spacing w:after="120" w:line="240" w:lineRule="auto"/>
      <w:jc w:val="center"/>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rPr>
      <w:cantSplit/>
    </w:trPr>
    <w:tcPr>
      <w:vAlign w:val="center"/>
    </w:tcPr>
  </w:style>
  <w:style w:type="paragraph" w:customStyle="1" w:styleId="NormalSpecial">
    <w:name w:val="NormalSpecial"/>
    <w:basedOn w:val="Normal"/>
    <w:next w:val="Normal"/>
    <w:qFormat/>
    <w:rsid w:val="0027042C"/>
    <w:pPr>
      <w:keepNext/>
      <w:spacing w:after="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5FEB2-AEC3-4042-A34A-56B93FC13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49232</Words>
  <Characters>280626</Characters>
  <Application>Microsoft Office Word</Application>
  <DocSecurity>0</DocSecurity>
  <Lines>2338</Lines>
  <Paragraphs>658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Marasović</dc:creator>
  <cp:lastModifiedBy>Ivanka Stilinović</cp:lastModifiedBy>
  <cp:revision>2</cp:revision>
  <dcterms:created xsi:type="dcterms:W3CDTF">2026-03-30T12:02:00Z</dcterms:created>
  <dcterms:modified xsi:type="dcterms:W3CDTF">2026-03-30T12:02:00Z</dcterms:modified>
</cp:coreProperties>
</file>